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5A" w:rsidRPr="004A375E" w:rsidRDefault="004A375E" w:rsidP="004A375E">
      <w:pPr>
        <w:snapToGrid w:val="0"/>
        <w:spacing w:line="360" w:lineRule="auto"/>
        <w:jc w:val="center"/>
        <w:rPr>
          <w:rFonts w:ascii="華康標楷體(P)" w:eastAsia="華康標楷體(P)" w:hAnsi="微軟正黑體" w:hint="eastAsia"/>
          <w:b/>
          <w:sz w:val="32"/>
          <w:szCs w:val="32"/>
        </w:rPr>
      </w:pPr>
      <w:r>
        <w:rPr>
          <w:rFonts w:ascii="華康標楷體(P)" w:eastAsia="華康標楷體(P)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-282388</wp:posOffset>
                </wp:positionH>
                <wp:positionV relativeFrom="paragraph">
                  <wp:posOffset>-286871</wp:posOffset>
                </wp:positionV>
                <wp:extent cx="753035" cy="358589"/>
                <wp:effectExtent l="0" t="0" r="28575" b="2286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035" cy="35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75E" w:rsidRPr="004A375E" w:rsidRDefault="004A375E" w:rsidP="004A375E">
                            <w:pPr>
                              <w:snapToGrid w:val="0"/>
                              <w:rPr>
                                <w:rFonts w:ascii="華康標楷體(P)" w:eastAsia="華康標楷體(P)" w:hint="eastAsia"/>
                                <w:sz w:val="28"/>
                                <w:szCs w:val="28"/>
                              </w:rPr>
                            </w:pPr>
                            <w:r w:rsidRPr="004A375E">
                              <w:rPr>
                                <w:rFonts w:ascii="華康標楷體(P)" w:eastAsia="華康標楷體(P)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2.25pt;margin-top:-22.6pt;width:59.3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" fillcolor="white [3201]" strokeweight=".5pt">
                <v:textbox>
                  <w:txbxContent>
                    <w:p w:rsidR="004A375E" w:rsidRPr="004A375E" w:rsidRDefault="004A375E" w:rsidP="004A375E">
                      <w:pPr>
                        <w:snapToGrid w:val="0"/>
                        <w:rPr>
                          <w:rFonts w:ascii="華康標楷體(P)" w:eastAsia="華康標楷體(P)" w:hint="eastAsia"/>
                          <w:sz w:val="28"/>
                          <w:szCs w:val="28"/>
                        </w:rPr>
                      </w:pPr>
                      <w:r w:rsidRPr="004A375E">
                        <w:rPr>
                          <w:rFonts w:ascii="華康標楷體(P)" w:eastAsia="華康標楷體(P)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B1F2C" w:rsidRPr="004A375E">
        <w:rPr>
          <w:rFonts w:ascii="華康標楷體(P)" w:eastAsia="華康標楷體(P)" w:hAnsi="微軟正黑體" w:hint="eastAsia"/>
          <w:b/>
          <w:sz w:val="32"/>
          <w:szCs w:val="32"/>
        </w:rPr>
        <w:t>「肉桂油乳劑之調配技術」簡介</w:t>
      </w:r>
    </w:p>
    <w:p w:rsidR="009B1F2C" w:rsidRPr="004A375E" w:rsidRDefault="009B1F2C" w:rsidP="004A375E">
      <w:pPr>
        <w:snapToGrid w:val="0"/>
        <w:spacing w:beforeLines="50" w:before="180" w:line="360" w:lineRule="auto"/>
        <w:ind w:firstLineChars="236" w:firstLine="661"/>
        <w:jc w:val="both"/>
        <w:rPr>
          <w:rFonts w:ascii="華康標楷體(P)" w:eastAsia="華康標楷體(P)" w:hAnsi="微軟正黑體" w:hint="eastAsia"/>
          <w:sz w:val="28"/>
          <w:szCs w:val="28"/>
        </w:rPr>
      </w:pPr>
      <w:r w:rsidRPr="004A375E">
        <w:rPr>
          <w:rFonts w:ascii="華康標楷體(P)" w:eastAsia="華康標楷體(P)" w:hAnsi="微軟正黑體" w:hint="eastAsia"/>
          <w:sz w:val="28"/>
          <w:szCs w:val="28"/>
        </w:rPr>
        <w:t>有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鑑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於台灣多種作物如番茄、瓜類、番石榴、洋桔梗等在栽培過程中常遭受根瘤線蟲的危害，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農民慣行以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化學農藥灌注防治，然因受土壤環境因子影響，使多數化學農藥之防治效果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不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彰。本項技術仍依據植物根瘤線蟲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侵染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植物組織之前的二齡幼蟲有一段時間游離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於</w:t>
      </w:r>
      <w:r w:rsidRPr="00465EE1">
        <w:rPr>
          <w:rFonts w:ascii="華康標楷體(P)" w:eastAsia="華康標楷體(P)" w:hAnsi="微軟正黑體" w:hint="eastAsia"/>
          <w:spacing w:val="2"/>
          <w:sz w:val="28"/>
          <w:szCs w:val="28"/>
        </w:rPr>
        <w:t>根圈</w:t>
      </w:r>
      <w:proofErr w:type="gramEnd"/>
      <w:r w:rsidRPr="00465EE1">
        <w:rPr>
          <w:rFonts w:ascii="華康標楷體(P)" w:eastAsia="華康標楷體(P)" w:hAnsi="微軟正黑體" w:hint="eastAsia"/>
          <w:spacing w:val="2"/>
          <w:sz w:val="28"/>
          <w:szCs w:val="28"/>
        </w:rPr>
        <w:t>周圍再侵入之特性，開發殺滅</w:t>
      </w:r>
      <w:proofErr w:type="gramStart"/>
      <w:r w:rsidRPr="00465EE1">
        <w:rPr>
          <w:rFonts w:ascii="華康標楷體(P)" w:eastAsia="華康標楷體(P)" w:hAnsi="微軟正黑體" w:hint="eastAsia"/>
          <w:spacing w:val="2"/>
          <w:sz w:val="28"/>
          <w:szCs w:val="28"/>
        </w:rPr>
        <w:t>該類線蟲</w:t>
      </w:r>
      <w:proofErr w:type="gramEnd"/>
      <w:r w:rsidRPr="00465EE1">
        <w:rPr>
          <w:rFonts w:ascii="華康標楷體(P)" w:eastAsia="華康標楷體(P)" w:hAnsi="微軟正黑體" w:hint="eastAsia"/>
          <w:spacing w:val="2"/>
          <w:sz w:val="28"/>
          <w:szCs w:val="28"/>
        </w:rPr>
        <w:t>二齡幼蟲之植物</w:t>
      </w:r>
      <w:bookmarkStart w:id="0" w:name="_GoBack"/>
      <w:bookmarkEnd w:id="0"/>
      <w:r w:rsidRPr="00465EE1">
        <w:rPr>
          <w:rFonts w:ascii="華康標楷體(P)" w:eastAsia="華康標楷體(P)" w:hAnsi="微軟正黑體" w:hint="eastAsia"/>
          <w:spacing w:val="2"/>
          <w:sz w:val="28"/>
          <w:szCs w:val="28"/>
        </w:rPr>
        <w:t>保護製劑</w:t>
      </w:r>
      <w:r w:rsidRPr="004A375E">
        <w:rPr>
          <w:rFonts w:ascii="華康標楷體(P)" w:eastAsia="華康標楷體(P)" w:hAnsi="微軟正黑體" w:hint="eastAsia"/>
          <w:sz w:val="28"/>
          <w:szCs w:val="28"/>
        </w:rPr>
        <w:t>，防治作物根瘤線蟲病之發生。2010年我國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殺線蟲劑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之銷售額為41,658千元，本項技術產製之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植保製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劑對於根瘤線蟲的防治效果顯著，更優於市售化學農藥，若市占率達20%，則預計每年銷售額約為830萬元。</w:t>
      </w:r>
    </w:p>
    <w:p w:rsidR="009B1F2C" w:rsidRPr="004A375E" w:rsidRDefault="009B1F2C" w:rsidP="004A375E">
      <w:pPr>
        <w:snapToGrid w:val="0"/>
        <w:spacing w:line="360" w:lineRule="auto"/>
        <w:ind w:firstLineChars="236" w:firstLine="661"/>
        <w:jc w:val="both"/>
        <w:rPr>
          <w:rFonts w:ascii="華康標楷體(P)" w:eastAsia="華康標楷體(P)" w:hAnsi="微軟正黑體" w:hint="eastAsia"/>
          <w:sz w:val="28"/>
          <w:szCs w:val="28"/>
        </w:rPr>
      </w:pPr>
      <w:r w:rsidRPr="004A375E">
        <w:rPr>
          <w:rFonts w:ascii="華康標楷體(P)" w:eastAsia="華康標楷體(P)" w:hAnsi="微軟正黑體" w:hint="eastAsia"/>
          <w:sz w:val="28"/>
          <w:szCs w:val="28"/>
        </w:rPr>
        <w:t>本項技術是藉由乳化技術將肉桂油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乳化成含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38%肉桂醛之天然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植保製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劑，經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一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序列試驗發現本乳劑可用於防治作物根瘤線蟲引起的病害。本乳劑的穩定度相當高，在一般環境條件下可貯存三年以上而不變性，具有很長的</w:t>
      </w:r>
      <w:r w:rsidRPr="004A375E">
        <w:rPr>
          <w:rFonts w:ascii="新細明體" w:eastAsia="新細明體" w:hAnsi="新細明體" w:cs="新細明體" w:hint="eastAsia"/>
          <w:sz w:val="28"/>
          <w:szCs w:val="28"/>
        </w:rPr>
        <w:t>櫉</w:t>
      </w:r>
      <w:r w:rsidRPr="004A375E">
        <w:rPr>
          <w:rFonts w:ascii="華康標楷體(P)" w:eastAsia="華康標楷體(P)" w:hAnsi="華康標楷體(P)" w:cs="華康標楷體(P)" w:hint="eastAsia"/>
          <w:sz w:val="28"/>
          <w:szCs w:val="28"/>
        </w:rPr>
        <w:t>架壽命。本項技術產品已經由藥物毒物試所進行理化</w:t>
      </w:r>
      <w:proofErr w:type="gramStart"/>
      <w:r w:rsidRPr="004A375E">
        <w:rPr>
          <w:rFonts w:ascii="華康標楷體(P)" w:eastAsia="華康標楷體(P)" w:hAnsi="華康標楷體(P)" w:cs="華康標楷體(P)" w:hint="eastAsia"/>
          <w:sz w:val="28"/>
          <w:szCs w:val="28"/>
        </w:rPr>
        <w:t>與毒理分析</w:t>
      </w:r>
      <w:proofErr w:type="gramEnd"/>
      <w:r w:rsidRPr="004A375E">
        <w:rPr>
          <w:rFonts w:ascii="華康標楷體(P)" w:eastAsia="華康標楷體(P)" w:hAnsi="華康標楷體(P)" w:cs="華康標楷體(P)" w:hint="eastAsia"/>
          <w:sz w:val="28"/>
          <w:szCs w:val="28"/>
        </w:rPr>
        <w:t>，並進行三場田間試驗，業者技術轉移後即可提出農藥登記使用申請。本項授權案屬於營業秘密之配方調製技術，</w:t>
      </w:r>
      <w:proofErr w:type="gramStart"/>
      <w:r w:rsidRPr="004A375E">
        <w:rPr>
          <w:rFonts w:ascii="華康標楷體(P)" w:eastAsia="華康標楷體(P)" w:hAnsi="華康標楷體(P)" w:cs="華康標楷體(P)" w:hint="eastAsia"/>
          <w:sz w:val="28"/>
          <w:szCs w:val="28"/>
        </w:rPr>
        <w:t>採</w:t>
      </w:r>
      <w:proofErr w:type="gramEnd"/>
      <w:r w:rsidRPr="004A375E">
        <w:rPr>
          <w:rFonts w:ascii="華康標楷體(P)" w:eastAsia="華康標楷體(P)" w:hAnsi="華康標楷體(P)" w:cs="華康標楷體(P)" w:hint="eastAsia"/>
          <w:sz w:val="28"/>
          <w:szCs w:val="28"/>
        </w:rPr>
        <w:t>專屬授權具有製備與行銷能力之公司行號，以單一廠商專屬授權承接本項技術，廠商可依產業佈局規劃產品之定價與市場行銷策略，以利產品推廣。</w:t>
      </w:r>
    </w:p>
    <w:p w:rsidR="009B1F2C" w:rsidRPr="004A375E" w:rsidRDefault="00276B8C" w:rsidP="004A375E">
      <w:pPr>
        <w:snapToGrid w:val="0"/>
        <w:spacing w:line="360" w:lineRule="auto"/>
        <w:ind w:firstLineChars="236" w:firstLine="661"/>
        <w:rPr>
          <w:rFonts w:ascii="華康標楷體(P)" w:eastAsia="華康標楷體(P)" w:hAnsi="微軟正黑體" w:hint="eastAsia"/>
          <w:sz w:val="28"/>
          <w:szCs w:val="28"/>
        </w:rPr>
      </w:pPr>
      <w:r w:rsidRPr="004A375E">
        <w:rPr>
          <w:rFonts w:ascii="華康標楷體(P)" w:eastAsia="華康標楷體(P)" w:hAnsi="微軟正黑體" w:hint="eastAsia"/>
          <w:noProof/>
          <w:sz w:val="28"/>
          <w:szCs w:val="28"/>
        </w:rPr>
        <w:lastRenderedPageBreak/>
        <w:drawing>
          <wp:inline distT="0" distB="0" distL="0" distR="0" wp14:anchorId="353E3994" wp14:editId="2F33A202">
            <wp:extent cx="3376295" cy="2532380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53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798" w:rsidRDefault="00EB7798" w:rsidP="004A375E">
      <w:pPr>
        <w:snapToGrid w:val="0"/>
        <w:spacing w:line="360" w:lineRule="auto"/>
        <w:rPr>
          <w:rFonts w:ascii="華康標楷體(P)" w:eastAsia="華康標楷體(P)" w:hAnsi="微軟正黑體" w:hint="eastAsia"/>
          <w:sz w:val="28"/>
          <w:szCs w:val="28"/>
        </w:rPr>
      </w:pPr>
      <w:r w:rsidRPr="004A375E">
        <w:rPr>
          <w:rFonts w:ascii="華康標楷體(P)" w:eastAsia="華康標楷體(P)" w:hAnsi="微軟正黑體" w:hint="eastAsia"/>
          <w:sz w:val="28"/>
          <w:szCs w:val="28"/>
        </w:rPr>
        <w:t>圖一、肉桂油乳劑稀釋5000倍可有效降低洋桔梗根瘤線蟲的危害。</w:t>
      </w:r>
    </w:p>
    <w:p w:rsidR="004A375E" w:rsidRPr="004A375E" w:rsidRDefault="004A375E" w:rsidP="004A375E">
      <w:pPr>
        <w:snapToGrid w:val="0"/>
        <w:spacing w:line="360" w:lineRule="auto"/>
        <w:rPr>
          <w:rFonts w:ascii="華康標楷體(P)" w:eastAsia="華康標楷體(P)" w:hAnsi="微軟正黑體" w:hint="eastAsia"/>
          <w:sz w:val="28"/>
          <w:szCs w:val="28"/>
        </w:rPr>
      </w:pPr>
    </w:p>
    <w:p w:rsidR="00276B8C" w:rsidRPr="004A375E" w:rsidRDefault="00EB7798" w:rsidP="004A375E">
      <w:pPr>
        <w:snapToGrid w:val="0"/>
        <w:spacing w:line="360" w:lineRule="auto"/>
        <w:ind w:firstLineChars="236" w:firstLine="661"/>
        <w:rPr>
          <w:rFonts w:ascii="華康標楷體(P)" w:eastAsia="華康標楷體(P)" w:hAnsi="微軟正黑體" w:hint="eastAsia"/>
          <w:sz w:val="28"/>
          <w:szCs w:val="28"/>
        </w:rPr>
      </w:pPr>
      <w:r w:rsidRPr="004A375E">
        <w:rPr>
          <w:rFonts w:ascii="華康標楷體(P)" w:eastAsia="華康標楷體(P)" w:hAnsi="微軟正黑體" w:hint="eastAsia"/>
          <w:noProof/>
          <w:sz w:val="28"/>
          <w:szCs w:val="28"/>
        </w:rPr>
        <w:drawing>
          <wp:inline distT="0" distB="0" distL="0" distR="0" wp14:anchorId="6ADAE5E4" wp14:editId="6AB23A63">
            <wp:extent cx="3376295" cy="2532380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53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7798" w:rsidRPr="004A375E" w:rsidRDefault="00EB7798" w:rsidP="004A375E">
      <w:pPr>
        <w:snapToGrid w:val="0"/>
        <w:spacing w:line="360" w:lineRule="auto"/>
        <w:ind w:left="784" w:hangingChars="280" w:hanging="784"/>
        <w:rPr>
          <w:rFonts w:ascii="華康標楷體(P)" w:eastAsia="華康標楷體(P)" w:hAnsi="微軟正黑體" w:hint="eastAsia"/>
          <w:sz w:val="28"/>
          <w:szCs w:val="28"/>
        </w:rPr>
      </w:pPr>
      <w:r w:rsidRPr="004A375E">
        <w:rPr>
          <w:rFonts w:ascii="華康標楷體(P)" w:eastAsia="華康標楷體(P)" w:hAnsi="微軟正黑體" w:hint="eastAsia"/>
          <w:sz w:val="28"/>
          <w:szCs w:val="28"/>
        </w:rPr>
        <w:t>圖二、田間試驗肉桂油乳劑5000倍可降低</w:t>
      </w:r>
      <w:proofErr w:type="gramStart"/>
      <w:r w:rsidRPr="004A375E">
        <w:rPr>
          <w:rFonts w:ascii="華康標楷體(P)" w:eastAsia="華康標楷體(P)" w:hAnsi="微軟正黑體" w:hint="eastAsia"/>
          <w:sz w:val="28"/>
          <w:szCs w:val="28"/>
        </w:rPr>
        <w:t>番茄根圈土壤</w:t>
      </w:r>
      <w:proofErr w:type="gramEnd"/>
      <w:r w:rsidRPr="004A375E">
        <w:rPr>
          <w:rFonts w:ascii="華康標楷體(P)" w:eastAsia="華康標楷體(P)" w:hAnsi="微軟正黑體" w:hint="eastAsia"/>
          <w:sz w:val="28"/>
          <w:szCs w:val="28"/>
        </w:rPr>
        <w:t>中根瘤線蟲二齡幼蟲之數量，效果優於推薦藥劑歐殺滅。</w:t>
      </w:r>
    </w:p>
    <w:sectPr w:rsidR="00EB7798" w:rsidRPr="004A375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D26" w:rsidRDefault="00B50D26" w:rsidP="004A375E">
      <w:r>
        <w:separator/>
      </w:r>
    </w:p>
  </w:endnote>
  <w:endnote w:type="continuationSeparator" w:id="0">
    <w:p w:rsidR="00B50D26" w:rsidRDefault="00B50D26" w:rsidP="004A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738760"/>
      <w:docPartObj>
        <w:docPartGallery w:val="Page Numbers (Bottom of Page)"/>
        <w:docPartUnique/>
      </w:docPartObj>
    </w:sdtPr>
    <w:sdtContent>
      <w:p w:rsidR="004A375E" w:rsidRDefault="004A37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EE1" w:rsidRPr="00465EE1">
          <w:rPr>
            <w:noProof/>
            <w:lang w:val="zh-TW"/>
          </w:rPr>
          <w:t>1</w:t>
        </w:r>
        <w:r>
          <w:fldChar w:fldCharType="end"/>
        </w:r>
      </w:p>
    </w:sdtContent>
  </w:sdt>
  <w:p w:rsidR="004A375E" w:rsidRDefault="004A37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D26" w:rsidRDefault="00B50D26" w:rsidP="004A375E">
      <w:r>
        <w:separator/>
      </w:r>
    </w:p>
  </w:footnote>
  <w:footnote w:type="continuationSeparator" w:id="0">
    <w:p w:rsidR="00B50D26" w:rsidRDefault="00B50D26" w:rsidP="004A3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2C"/>
    <w:rsid w:val="00276B8C"/>
    <w:rsid w:val="00465EE1"/>
    <w:rsid w:val="004A375E"/>
    <w:rsid w:val="009B1F2C"/>
    <w:rsid w:val="00B50D26"/>
    <w:rsid w:val="00BC0413"/>
    <w:rsid w:val="00E4365A"/>
    <w:rsid w:val="00EB7798"/>
    <w:rsid w:val="00F7306A"/>
    <w:rsid w:val="00FA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7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7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B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7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7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花卉中心-謝廷芳</dc:creator>
  <cp:lastModifiedBy>所長室-施碧茹</cp:lastModifiedBy>
  <cp:revision>3</cp:revision>
  <dcterms:created xsi:type="dcterms:W3CDTF">2016-11-01T03:33:00Z</dcterms:created>
  <dcterms:modified xsi:type="dcterms:W3CDTF">2016-11-01T05:52:00Z</dcterms:modified>
</cp:coreProperties>
</file>