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5A" w:rsidRPr="00DC3029" w:rsidRDefault="0058064D" w:rsidP="0058064D">
      <w:pPr>
        <w:snapToGrid w:val="0"/>
        <w:spacing w:line="360" w:lineRule="auto"/>
        <w:jc w:val="center"/>
        <w:rPr>
          <w:rFonts w:ascii="華康標楷體(P)" w:eastAsia="華康標楷體(P)" w:hAnsi="微軟正黑體" w:hint="eastAsia"/>
          <w:b/>
          <w:sz w:val="32"/>
          <w:szCs w:val="32"/>
        </w:rPr>
      </w:pPr>
      <w:r w:rsidRPr="00DC3029">
        <w:rPr>
          <w:rFonts w:ascii="華康標楷體(P)" w:eastAsia="華康標楷體(P)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ECDE8" wp14:editId="540E1C37">
                <wp:simplePos x="0" y="0"/>
                <wp:positionH relativeFrom="column">
                  <wp:posOffset>-291422</wp:posOffset>
                </wp:positionH>
                <wp:positionV relativeFrom="paragraph">
                  <wp:posOffset>-355988</wp:posOffset>
                </wp:positionV>
                <wp:extent cx="774797" cy="342028"/>
                <wp:effectExtent l="0" t="0" r="25400" b="203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97" cy="342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64D" w:rsidRPr="0058064D" w:rsidRDefault="0058064D" w:rsidP="0058064D">
                            <w:pPr>
                              <w:snapToGrid w:val="0"/>
                              <w:rPr>
                                <w:rFonts w:ascii="華康標楷體(P)" w:eastAsia="華康標楷體(P)" w:hint="eastAsia"/>
                                <w:sz w:val="28"/>
                                <w:szCs w:val="28"/>
                              </w:rPr>
                            </w:pPr>
                            <w:r w:rsidRPr="0058064D">
                              <w:rPr>
                                <w:rFonts w:ascii="華康標楷體(P)" w:eastAsia="華康標楷體(P)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2.95pt;margin-top:-28.05pt;width:61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" fillcolor="white [3201]" strokeweight=".5pt">
                <v:textbox>
                  <w:txbxContent>
                    <w:p w:rsidR="0058064D" w:rsidRPr="0058064D" w:rsidRDefault="0058064D" w:rsidP="0058064D">
                      <w:pPr>
                        <w:snapToGrid w:val="0"/>
                        <w:rPr>
                          <w:rFonts w:ascii="華康標楷體(P)" w:eastAsia="華康標楷體(P)" w:hint="eastAsia"/>
                          <w:sz w:val="28"/>
                          <w:szCs w:val="28"/>
                        </w:rPr>
                      </w:pPr>
                      <w:r w:rsidRPr="0058064D">
                        <w:rPr>
                          <w:rFonts w:ascii="華康標楷體(P)" w:eastAsia="華康標楷體(P)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B1F2C" w:rsidRPr="00DC3029">
        <w:rPr>
          <w:rFonts w:ascii="華康標楷體(P)" w:eastAsia="華康標楷體(P)" w:hAnsi="微軟正黑體" w:hint="eastAsia"/>
          <w:b/>
          <w:sz w:val="32"/>
          <w:szCs w:val="32"/>
        </w:rPr>
        <w:t>「</w:t>
      </w:r>
      <w:proofErr w:type="gramStart"/>
      <w:r w:rsidR="00AA4E12" w:rsidRPr="00DC3029">
        <w:rPr>
          <w:rFonts w:ascii="華康標楷體(P)" w:eastAsia="華康標楷體(P)" w:hAnsi="微軟正黑體" w:hint="eastAsia"/>
          <w:b/>
          <w:sz w:val="32"/>
          <w:szCs w:val="32"/>
        </w:rPr>
        <w:t>香茅油微乳</w:t>
      </w:r>
      <w:r w:rsidR="009B1F2C" w:rsidRPr="00DC3029">
        <w:rPr>
          <w:rFonts w:ascii="華康標楷體(P)" w:eastAsia="華康標楷體(P)" w:hAnsi="微軟正黑體" w:hint="eastAsia"/>
          <w:b/>
          <w:sz w:val="32"/>
          <w:szCs w:val="32"/>
        </w:rPr>
        <w:t>劑</w:t>
      </w:r>
      <w:proofErr w:type="gramEnd"/>
      <w:r w:rsidR="009B1F2C" w:rsidRPr="00DC3029">
        <w:rPr>
          <w:rFonts w:ascii="華康標楷體(P)" w:eastAsia="華康標楷體(P)" w:hAnsi="微軟正黑體" w:hint="eastAsia"/>
          <w:b/>
          <w:sz w:val="32"/>
          <w:szCs w:val="32"/>
        </w:rPr>
        <w:t>之調配技術」簡介</w:t>
      </w:r>
    </w:p>
    <w:p w:rsidR="009B1F2C" w:rsidRPr="00DC3029" w:rsidRDefault="00AA4E12" w:rsidP="00DC3029">
      <w:pPr>
        <w:snapToGrid w:val="0"/>
        <w:spacing w:beforeLines="50" w:before="180" w:line="360" w:lineRule="auto"/>
        <w:ind w:firstLineChars="236" w:firstLine="661"/>
        <w:jc w:val="both"/>
        <w:rPr>
          <w:rFonts w:ascii="華康標楷體(P)" w:eastAsia="華康標楷體(P)" w:hAnsi="微軟正黑體" w:hint="eastAsia"/>
          <w:sz w:val="28"/>
          <w:szCs w:val="28"/>
        </w:rPr>
      </w:pPr>
      <w:r w:rsidRPr="00DC3029">
        <w:rPr>
          <w:rFonts w:ascii="華康標楷體(P)" w:eastAsia="華康標楷體(P)" w:hAnsi="微軟正黑體" w:hint="eastAsia"/>
          <w:sz w:val="28"/>
          <w:szCs w:val="28"/>
        </w:rPr>
        <w:t>有</w:t>
      </w:r>
      <w:proofErr w:type="gramStart"/>
      <w:r w:rsidRPr="00DC3029">
        <w:rPr>
          <w:rFonts w:ascii="華康標楷體(P)" w:eastAsia="華康標楷體(P)" w:hAnsi="微軟正黑體" w:hint="eastAsia"/>
          <w:sz w:val="28"/>
          <w:szCs w:val="28"/>
        </w:rPr>
        <w:t>鑑</w:t>
      </w:r>
      <w:proofErr w:type="gramEnd"/>
      <w:r w:rsidRPr="00DC3029">
        <w:rPr>
          <w:rFonts w:ascii="華康標楷體(P)" w:eastAsia="華康標楷體(P)" w:hAnsi="微軟正黑體" w:hint="eastAsia"/>
          <w:sz w:val="28"/>
          <w:szCs w:val="28"/>
        </w:rPr>
        <w:t>於台灣冬春季低溫多濕環境下常發生</w:t>
      </w:r>
      <w:proofErr w:type="gramStart"/>
      <w:r w:rsidRPr="00DC3029">
        <w:rPr>
          <w:rFonts w:ascii="華康標楷體(P)" w:eastAsia="華康標楷體(P)" w:hAnsi="微軟正黑體" w:hint="eastAsia"/>
          <w:sz w:val="28"/>
          <w:szCs w:val="28"/>
        </w:rPr>
        <w:t>作物之灰黴病</w:t>
      </w:r>
      <w:proofErr w:type="gramEnd"/>
      <w:r w:rsidRPr="00DC3029">
        <w:rPr>
          <w:rFonts w:ascii="華康標楷體(P)" w:eastAsia="華康標楷體(P)" w:hAnsi="微軟正黑體" w:hint="eastAsia"/>
          <w:sz w:val="28"/>
          <w:szCs w:val="28"/>
        </w:rPr>
        <w:t>，</w:t>
      </w:r>
      <w:proofErr w:type="gramStart"/>
      <w:r w:rsidRPr="00DC3029">
        <w:rPr>
          <w:rFonts w:ascii="華康標楷體(P)" w:eastAsia="華康標楷體(P)" w:hAnsi="微軟正黑體" w:hint="eastAsia"/>
          <w:sz w:val="28"/>
          <w:szCs w:val="28"/>
        </w:rPr>
        <w:t>農民慣行以</w:t>
      </w:r>
      <w:proofErr w:type="gramEnd"/>
      <w:r w:rsidRPr="00DC3029">
        <w:rPr>
          <w:rFonts w:ascii="華康標楷體(P)" w:eastAsia="華康標楷體(P)" w:hAnsi="微軟正黑體" w:hint="eastAsia"/>
          <w:sz w:val="28"/>
          <w:szCs w:val="28"/>
        </w:rPr>
        <w:t>化學農藥噴施防治，然病原菌亦產生抗藥性，使多數化學農藥之防治效果</w:t>
      </w:r>
      <w:proofErr w:type="gramStart"/>
      <w:r w:rsidRPr="00DC3029">
        <w:rPr>
          <w:rFonts w:ascii="華康標楷體(P)" w:eastAsia="華康標楷體(P)" w:hAnsi="微軟正黑體" w:hint="eastAsia"/>
          <w:sz w:val="28"/>
          <w:szCs w:val="28"/>
        </w:rPr>
        <w:t>不</w:t>
      </w:r>
      <w:proofErr w:type="gramEnd"/>
      <w:r w:rsidRPr="00DC3029">
        <w:rPr>
          <w:rFonts w:ascii="華康標楷體(P)" w:eastAsia="華康標楷體(P)" w:hAnsi="微軟正黑體" w:hint="eastAsia"/>
          <w:sz w:val="28"/>
          <w:szCs w:val="28"/>
        </w:rPr>
        <w:t>彰。本項技術仍依據植物病原菌</w:t>
      </w:r>
      <w:r w:rsidRPr="00DC3029">
        <w:rPr>
          <w:rFonts w:ascii="華康標楷體(P)" w:eastAsia="華康標楷體(P)" w:hAnsi="微軟正黑體" w:hint="eastAsia"/>
          <w:i/>
          <w:sz w:val="28"/>
          <w:szCs w:val="28"/>
        </w:rPr>
        <w:t xml:space="preserve">Botrytis </w:t>
      </w:r>
      <w:proofErr w:type="spellStart"/>
      <w:r w:rsidRPr="00DC3029">
        <w:rPr>
          <w:rFonts w:ascii="華康標楷體(P)" w:eastAsia="華康標楷體(P)" w:hAnsi="微軟正黑體" w:hint="eastAsia"/>
          <w:i/>
          <w:sz w:val="28"/>
          <w:szCs w:val="28"/>
        </w:rPr>
        <w:t>cinerea</w:t>
      </w:r>
      <w:proofErr w:type="spellEnd"/>
      <w:r w:rsidRPr="00DC3029">
        <w:rPr>
          <w:rFonts w:ascii="華康標楷體(P)" w:eastAsia="華康標楷體(P)" w:hAnsi="微軟正黑體" w:hint="eastAsia"/>
          <w:sz w:val="28"/>
          <w:szCs w:val="28"/>
        </w:rPr>
        <w:t>和</w:t>
      </w:r>
      <w:r w:rsidRPr="00DC3029">
        <w:rPr>
          <w:rFonts w:ascii="華康標楷體(P)" w:eastAsia="華康標楷體(P)" w:hAnsi="微軟正黑體" w:hint="eastAsia"/>
          <w:i/>
          <w:sz w:val="28"/>
          <w:szCs w:val="28"/>
        </w:rPr>
        <w:t xml:space="preserve">B. </w:t>
      </w:r>
      <w:proofErr w:type="spellStart"/>
      <w:r w:rsidRPr="00DC3029">
        <w:rPr>
          <w:rFonts w:ascii="華康標楷體(P)" w:eastAsia="華康標楷體(P)" w:hAnsi="微軟正黑體" w:hint="eastAsia"/>
          <w:i/>
          <w:sz w:val="28"/>
          <w:szCs w:val="28"/>
        </w:rPr>
        <w:t>elliptica</w:t>
      </w:r>
      <w:proofErr w:type="spellEnd"/>
      <w:proofErr w:type="gramStart"/>
      <w:r w:rsidRPr="00DC3029">
        <w:rPr>
          <w:rFonts w:ascii="華康標楷體(P)" w:eastAsia="華康標楷體(P)" w:hAnsi="微軟正黑體" w:hint="eastAsia"/>
          <w:sz w:val="28"/>
          <w:szCs w:val="28"/>
        </w:rPr>
        <w:t>侵染</w:t>
      </w:r>
      <w:proofErr w:type="gramEnd"/>
      <w:r w:rsidRPr="00DC3029">
        <w:rPr>
          <w:rFonts w:ascii="華康標楷體(P)" w:eastAsia="華康標楷體(P)" w:hAnsi="微軟正黑體" w:hint="eastAsia"/>
          <w:sz w:val="28"/>
          <w:szCs w:val="28"/>
        </w:rPr>
        <w:t>植物組織之特性，開發抑制該</w:t>
      </w:r>
      <w:proofErr w:type="gramStart"/>
      <w:r w:rsidRPr="00DC3029">
        <w:rPr>
          <w:rFonts w:ascii="華康標楷體(P)" w:eastAsia="華康標楷體(P)" w:hAnsi="微軟正黑體" w:hint="eastAsia"/>
          <w:sz w:val="28"/>
          <w:szCs w:val="28"/>
        </w:rPr>
        <w:t>類灰黴病菌</w:t>
      </w:r>
      <w:proofErr w:type="gramEnd"/>
      <w:r w:rsidRPr="00DC3029">
        <w:rPr>
          <w:rFonts w:ascii="華康標楷體(P)" w:eastAsia="華康標楷體(P)" w:hAnsi="微軟正黑體" w:hint="eastAsia"/>
          <w:sz w:val="28"/>
          <w:szCs w:val="28"/>
        </w:rPr>
        <w:t>孢子發芽之植物保護製劑，防治作物灰黴病之發生。據103年農藥統計資料之農藥產銷量值，我國內銷之殺菌劑數量1</w:t>
      </w:r>
      <w:bookmarkStart w:id="0" w:name="_GoBack"/>
      <w:bookmarkEnd w:id="0"/>
      <w:r w:rsidRPr="00DC3029">
        <w:rPr>
          <w:rFonts w:ascii="華康標楷體(P)" w:eastAsia="華康標楷體(P)" w:hAnsi="微軟正黑體" w:hint="eastAsia"/>
          <w:sz w:val="28"/>
          <w:szCs w:val="28"/>
        </w:rPr>
        <w:t>,095公噸，價值11億2千5百萬元。以灰黴病用藥而言，若占5%之銷售量則銷售額約為5千6佰萬元，本技術衍生之製劑產品若未來市占率為10%，則每年銷售額約為560萬元。</w:t>
      </w:r>
    </w:p>
    <w:p w:rsidR="009B1F2C" w:rsidRPr="00DC3029" w:rsidRDefault="00EF15AE" w:rsidP="00DC3029">
      <w:pPr>
        <w:snapToGrid w:val="0"/>
        <w:spacing w:line="360" w:lineRule="auto"/>
        <w:ind w:firstLineChars="236" w:firstLine="661"/>
        <w:jc w:val="both"/>
        <w:rPr>
          <w:rFonts w:ascii="華康標楷體(P)" w:eastAsia="華康標楷體(P)" w:hAnsi="微軟正黑體" w:hint="eastAsia"/>
          <w:sz w:val="28"/>
          <w:szCs w:val="28"/>
        </w:rPr>
      </w:pPr>
      <w:r w:rsidRPr="00DC3029">
        <w:rPr>
          <w:rFonts w:ascii="華康標楷體(P)" w:eastAsia="華康標楷體(P)" w:hAnsi="微軟正黑體" w:hint="eastAsia"/>
          <w:sz w:val="28"/>
          <w:szCs w:val="28"/>
        </w:rPr>
        <w:t>本項授權案係</w:t>
      </w:r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藉由微乳化技術將香茅油經由界面</w:t>
      </w:r>
      <w:proofErr w:type="gramStart"/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活性劑</w:t>
      </w:r>
      <w:proofErr w:type="gramEnd"/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與水結合成O/W的</w:t>
      </w:r>
      <w:r w:rsidRPr="00DC3029">
        <w:rPr>
          <w:rFonts w:ascii="華康標楷體(P)" w:eastAsia="華康標楷體(P)" w:hAnsi="微軟正黑體" w:hint="eastAsia"/>
          <w:sz w:val="28"/>
          <w:szCs w:val="28"/>
        </w:rPr>
        <w:t>微乳劑配製技術，製劑產品的優點</w:t>
      </w:r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在於香茅油形成微乳液後，</w:t>
      </w:r>
      <w:r w:rsidRPr="00DC3029">
        <w:rPr>
          <w:rFonts w:ascii="華康標楷體(P)" w:eastAsia="華康標楷體(P)" w:hAnsi="微軟正黑體" w:hint="eastAsia"/>
          <w:sz w:val="28"/>
          <w:szCs w:val="28"/>
        </w:rPr>
        <w:t>呈</w:t>
      </w:r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油</w:t>
      </w:r>
      <w:r w:rsidRPr="00DC3029">
        <w:rPr>
          <w:rFonts w:ascii="華康標楷體(P)" w:eastAsia="華康標楷體(P)" w:hAnsi="微軟正黑體" w:hint="eastAsia"/>
          <w:sz w:val="28"/>
          <w:szCs w:val="28"/>
        </w:rPr>
        <w:t>水相</w:t>
      </w:r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動態平衡，</w:t>
      </w:r>
      <w:r w:rsidRPr="00DC3029">
        <w:rPr>
          <w:rFonts w:ascii="華康標楷體(P)" w:eastAsia="華康標楷體(P)" w:hAnsi="微軟正黑體" w:hint="eastAsia"/>
          <w:sz w:val="28"/>
          <w:szCs w:val="28"/>
        </w:rPr>
        <w:t>於</w:t>
      </w:r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一般環境條件下可貯存三年以上而不變性，具有很長的</w:t>
      </w:r>
      <w:r w:rsidR="00AA4E12" w:rsidRPr="00DC3029">
        <w:rPr>
          <w:rFonts w:ascii="新細明體" w:eastAsia="新細明體" w:hAnsi="新細明體" w:cs="新細明體" w:hint="eastAsia"/>
          <w:sz w:val="28"/>
          <w:szCs w:val="28"/>
        </w:rPr>
        <w:t>櫉</w:t>
      </w:r>
      <w:r w:rsidR="00AA4E12" w:rsidRPr="00DC3029">
        <w:rPr>
          <w:rFonts w:ascii="華康標楷體(P)" w:eastAsia="華康標楷體(P)" w:hAnsi="華康標楷體(P)" w:cs="華康標楷體(P)" w:hint="eastAsia"/>
          <w:sz w:val="28"/>
          <w:szCs w:val="28"/>
        </w:rPr>
        <w:t>架壽命</w:t>
      </w:r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。</w:t>
      </w:r>
      <w:proofErr w:type="gramStart"/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本微乳劑</w:t>
      </w:r>
      <w:proofErr w:type="gramEnd"/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可用於防治作物灰黴病之發生，其效果與目前正式推荐的化學農藥甲基</w:t>
      </w:r>
      <w:proofErr w:type="gramStart"/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多保淨無異</w:t>
      </w:r>
      <w:proofErr w:type="gramEnd"/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。</w:t>
      </w:r>
      <w:r w:rsidR="009B1F2C" w:rsidRPr="00DC3029">
        <w:rPr>
          <w:rFonts w:ascii="華康標楷體(P)" w:eastAsia="華康標楷體(P)" w:hAnsi="微軟正黑體" w:hint="eastAsia"/>
          <w:sz w:val="28"/>
          <w:szCs w:val="28"/>
        </w:rPr>
        <w:t>業者技術轉移後</w:t>
      </w:r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尚需完備理化</w:t>
      </w:r>
      <w:proofErr w:type="gramStart"/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與毒理分析</w:t>
      </w:r>
      <w:proofErr w:type="gramEnd"/>
      <w:r w:rsidR="00AA4E12" w:rsidRPr="00DC3029">
        <w:rPr>
          <w:rFonts w:ascii="華康標楷體(P)" w:eastAsia="華康標楷體(P)" w:hAnsi="微軟正黑體" w:hint="eastAsia"/>
          <w:sz w:val="28"/>
          <w:szCs w:val="28"/>
        </w:rPr>
        <w:t>，並進行三場田間試驗始</w:t>
      </w:r>
      <w:r w:rsidR="009B1F2C" w:rsidRPr="00DC3029">
        <w:rPr>
          <w:rFonts w:ascii="華康標楷體(P)" w:eastAsia="華康標楷體(P)" w:hAnsi="微軟正黑體" w:hint="eastAsia"/>
          <w:sz w:val="28"/>
          <w:szCs w:val="28"/>
        </w:rPr>
        <w:t>可提出農藥登記使用申請。本項授權案屬於營業秘密之配方調製技術，</w:t>
      </w:r>
      <w:proofErr w:type="gramStart"/>
      <w:r w:rsidR="009B1F2C" w:rsidRPr="00DC3029">
        <w:rPr>
          <w:rFonts w:ascii="華康標楷體(P)" w:eastAsia="華康標楷體(P)" w:hAnsi="微軟正黑體" w:hint="eastAsia"/>
          <w:sz w:val="28"/>
          <w:szCs w:val="28"/>
        </w:rPr>
        <w:t>採</w:t>
      </w:r>
      <w:proofErr w:type="gramEnd"/>
      <w:r w:rsidR="009B1F2C" w:rsidRPr="00DC3029">
        <w:rPr>
          <w:rFonts w:ascii="華康標楷體(P)" w:eastAsia="華康標楷體(P)" w:hAnsi="微軟正黑體" w:hint="eastAsia"/>
          <w:sz w:val="28"/>
          <w:szCs w:val="28"/>
        </w:rPr>
        <w:t>專屬授權具有製備與行銷能力之公司行號，以單一廠商專屬授權承接本項技術，廠商可依產業佈局規劃產品之定價與市場行銷策略，以利產品推廣。</w:t>
      </w:r>
    </w:p>
    <w:p w:rsidR="009B1F2C" w:rsidRPr="0058064D" w:rsidRDefault="00EF15AE" w:rsidP="0058064D">
      <w:pPr>
        <w:ind w:firstLineChars="236" w:firstLine="661"/>
        <w:jc w:val="both"/>
        <w:rPr>
          <w:rFonts w:ascii="華康標楷體(P)" w:eastAsia="華康標楷體(P)" w:hAnsi="微軟正黑體" w:hint="eastAsia"/>
          <w:sz w:val="28"/>
          <w:szCs w:val="28"/>
        </w:rPr>
      </w:pPr>
      <w:r w:rsidRPr="0058064D">
        <w:rPr>
          <w:rFonts w:ascii="華康標楷體(P)" w:eastAsia="華康標楷體(P)" w:hAnsi="微軟正黑體" w:hint="eastAsia"/>
          <w:noProof/>
          <w:sz w:val="28"/>
          <w:szCs w:val="28"/>
        </w:rPr>
        <w:lastRenderedPageBreak/>
        <w:drawing>
          <wp:inline distT="0" distB="0" distL="0" distR="0" wp14:anchorId="763A1B67" wp14:editId="2E3A3B53">
            <wp:extent cx="3562550" cy="267208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27" cy="267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798" w:rsidRPr="000A421E" w:rsidRDefault="00EB7798" w:rsidP="0058064D">
      <w:pPr>
        <w:jc w:val="both"/>
        <w:rPr>
          <w:rFonts w:ascii="華康標楷體(P)" w:eastAsia="華康標楷體(P)" w:hAnsi="微軟正黑體" w:hint="eastAsia"/>
          <w:sz w:val="28"/>
          <w:szCs w:val="28"/>
        </w:rPr>
      </w:pPr>
      <w:r w:rsidRPr="000A421E">
        <w:rPr>
          <w:rFonts w:ascii="華康標楷體(P)" w:eastAsia="華康標楷體(P)" w:hAnsi="微軟正黑體" w:hint="eastAsia"/>
          <w:sz w:val="28"/>
          <w:szCs w:val="28"/>
        </w:rPr>
        <w:t>圖一、</w:t>
      </w:r>
      <w:proofErr w:type="gramStart"/>
      <w:r w:rsidR="00EF15AE" w:rsidRPr="000A421E">
        <w:rPr>
          <w:rFonts w:ascii="華康標楷體(P)" w:eastAsia="華康標楷體(P)" w:hAnsi="微軟正黑體" w:hint="eastAsia"/>
          <w:sz w:val="28"/>
          <w:szCs w:val="28"/>
        </w:rPr>
        <w:t>香茅</w:t>
      </w:r>
      <w:r w:rsidRPr="000A421E">
        <w:rPr>
          <w:rFonts w:ascii="華康標楷體(P)" w:eastAsia="華康標楷體(P)" w:hAnsi="微軟正黑體" w:hint="eastAsia"/>
          <w:sz w:val="28"/>
          <w:szCs w:val="28"/>
        </w:rPr>
        <w:t>油</w:t>
      </w:r>
      <w:r w:rsidR="00EF15AE" w:rsidRPr="000A421E">
        <w:rPr>
          <w:rFonts w:ascii="華康標楷體(P)" w:eastAsia="華康標楷體(P)" w:hAnsi="微軟正黑體" w:hint="eastAsia"/>
          <w:sz w:val="28"/>
          <w:szCs w:val="28"/>
        </w:rPr>
        <w:t>微</w:t>
      </w:r>
      <w:r w:rsidRPr="000A421E">
        <w:rPr>
          <w:rFonts w:ascii="華康標楷體(P)" w:eastAsia="華康標楷體(P)" w:hAnsi="微軟正黑體" w:hint="eastAsia"/>
          <w:sz w:val="28"/>
          <w:szCs w:val="28"/>
        </w:rPr>
        <w:t>乳劑</w:t>
      </w:r>
      <w:proofErr w:type="gramEnd"/>
      <w:r w:rsidRPr="000A421E">
        <w:rPr>
          <w:rFonts w:ascii="華康標楷體(P)" w:eastAsia="華康標楷體(P)" w:hAnsi="微軟正黑體" w:hint="eastAsia"/>
          <w:sz w:val="28"/>
          <w:szCs w:val="28"/>
        </w:rPr>
        <w:t>稀釋</w:t>
      </w:r>
      <w:r w:rsidR="00EF15AE" w:rsidRPr="000A421E">
        <w:rPr>
          <w:rFonts w:ascii="華康標楷體(P)" w:eastAsia="華康標楷體(P)" w:hAnsi="微軟正黑體" w:hint="eastAsia"/>
          <w:sz w:val="28"/>
          <w:szCs w:val="28"/>
        </w:rPr>
        <w:t>2</w:t>
      </w:r>
      <w:r w:rsidRPr="000A421E">
        <w:rPr>
          <w:rFonts w:ascii="華康標楷體(P)" w:eastAsia="華康標楷體(P)" w:hAnsi="微軟正黑體" w:hint="eastAsia"/>
          <w:sz w:val="28"/>
          <w:szCs w:val="28"/>
        </w:rPr>
        <w:t>000倍可有效降低</w:t>
      </w:r>
      <w:proofErr w:type="gramStart"/>
      <w:r w:rsidR="00EF15AE" w:rsidRPr="000A421E">
        <w:rPr>
          <w:rFonts w:ascii="華康標楷體(P)" w:eastAsia="華康標楷體(P)" w:hAnsi="微軟正黑體" w:hint="eastAsia"/>
          <w:sz w:val="28"/>
          <w:szCs w:val="28"/>
        </w:rPr>
        <w:t>蝴蝶蘭灰黴病</w:t>
      </w:r>
      <w:proofErr w:type="gramEnd"/>
      <w:r w:rsidRPr="000A421E">
        <w:rPr>
          <w:rFonts w:ascii="華康標楷體(P)" w:eastAsia="華康標楷體(P)" w:hAnsi="微軟正黑體" w:hint="eastAsia"/>
          <w:sz w:val="28"/>
          <w:szCs w:val="28"/>
        </w:rPr>
        <w:t>的危害。</w:t>
      </w:r>
    </w:p>
    <w:p w:rsidR="000A421E" w:rsidRPr="000A421E" w:rsidRDefault="000A421E" w:rsidP="0058064D">
      <w:pPr>
        <w:jc w:val="both"/>
        <w:rPr>
          <w:rFonts w:ascii="華康標楷體(P)" w:eastAsia="華康標楷體(P)" w:hAnsi="微軟正黑體" w:hint="eastAsia"/>
          <w:sz w:val="26"/>
          <w:szCs w:val="26"/>
        </w:rPr>
      </w:pPr>
    </w:p>
    <w:p w:rsidR="00276B8C" w:rsidRPr="0058064D" w:rsidRDefault="00EF15AE" w:rsidP="0058064D">
      <w:pPr>
        <w:ind w:firstLineChars="236" w:firstLine="661"/>
        <w:jc w:val="both"/>
        <w:rPr>
          <w:rFonts w:ascii="華康標楷體(P)" w:eastAsia="華康標楷體(P)" w:hAnsi="微軟正黑體" w:hint="eastAsia"/>
          <w:sz w:val="28"/>
          <w:szCs w:val="28"/>
        </w:rPr>
      </w:pPr>
      <w:r w:rsidRPr="0058064D">
        <w:rPr>
          <w:rFonts w:ascii="華康標楷體(P)" w:eastAsia="華康標楷體(P)" w:hAnsi="微軟正黑體" w:hint="eastAsia"/>
          <w:noProof/>
          <w:sz w:val="28"/>
          <w:szCs w:val="28"/>
        </w:rPr>
        <w:drawing>
          <wp:inline distT="0" distB="0" distL="0" distR="0" wp14:anchorId="0B02B134" wp14:editId="0154C766">
            <wp:extent cx="3566160" cy="2674787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740" cy="2677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798" w:rsidRPr="000A421E" w:rsidRDefault="00EB7798" w:rsidP="0058064D">
      <w:pPr>
        <w:jc w:val="both"/>
        <w:rPr>
          <w:rFonts w:ascii="華康標楷體(P)" w:eastAsia="華康標楷體(P)" w:hAnsi="微軟正黑體" w:hint="eastAsia"/>
          <w:sz w:val="28"/>
          <w:szCs w:val="28"/>
        </w:rPr>
      </w:pPr>
      <w:r w:rsidRPr="000A421E">
        <w:rPr>
          <w:rFonts w:ascii="華康標楷體(P)" w:eastAsia="華康標楷體(P)" w:hAnsi="微軟正黑體" w:hint="eastAsia"/>
          <w:sz w:val="28"/>
          <w:szCs w:val="28"/>
        </w:rPr>
        <w:t>圖二、田間試驗</w:t>
      </w:r>
      <w:proofErr w:type="gramStart"/>
      <w:r w:rsidR="00883393" w:rsidRPr="000A421E">
        <w:rPr>
          <w:rFonts w:ascii="華康標楷體(P)" w:eastAsia="華康標楷體(P)" w:hAnsi="微軟正黑體" w:hint="eastAsia"/>
          <w:sz w:val="28"/>
          <w:szCs w:val="28"/>
        </w:rPr>
        <w:t>香茅</w:t>
      </w:r>
      <w:r w:rsidRPr="000A421E">
        <w:rPr>
          <w:rFonts w:ascii="華康標楷體(P)" w:eastAsia="華康標楷體(P)" w:hAnsi="微軟正黑體" w:hint="eastAsia"/>
          <w:sz w:val="28"/>
          <w:szCs w:val="28"/>
        </w:rPr>
        <w:t>油</w:t>
      </w:r>
      <w:r w:rsidR="00883393" w:rsidRPr="000A421E">
        <w:rPr>
          <w:rFonts w:ascii="華康標楷體(P)" w:eastAsia="華康標楷體(P)" w:hAnsi="微軟正黑體" w:hint="eastAsia"/>
          <w:sz w:val="28"/>
          <w:szCs w:val="28"/>
        </w:rPr>
        <w:t>微</w:t>
      </w:r>
      <w:r w:rsidRPr="000A421E">
        <w:rPr>
          <w:rFonts w:ascii="華康標楷體(P)" w:eastAsia="華康標楷體(P)" w:hAnsi="微軟正黑體" w:hint="eastAsia"/>
          <w:sz w:val="28"/>
          <w:szCs w:val="28"/>
        </w:rPr>
        <w:t>乳劑</w:t>
      </w:r>
      <w:proofErr w:type="gramEnd"/>
      <w:r w:rsidR="00883393" w:rsidRPr="000A421E">
        <w:rPr>
          <w:rFonts w:ascii="華康標楷體(P)" w:eastAsia="華康標楷體(P)" w:hAnsi="微軟正黑體" w:hint="eastAsia"/>
          <w:sz w:val="28"/>
          <w:szCs w:val="28"/>
        </w:rPr>
        <w:t>2</w:t>
      </w:r>
      <w:r w:rsidRPr="000A421E">
        <w:rPr>
          <w:rFonts w:ascii="華康標楷體(P)" w:eastAsia="華康標楷體(P)" w:hAnsi="微軟正黑體" w:hint="eastAsia"/>
          <w:sz w:val="28"/>
          <w:szCs w:val="28"/>
        </w:rPr>
        <w:t>000倍可降低</w:t>
      </w:r>
      <w:r w:rsidR="00883393" w:rsidRPr="000A421E">
        <w:rPr>
          <w:rFonts w:ascii="華康標楷體(P)" w:eastAsia="華康標楷體(P)" w:hAnsi="微軟正黑體" w:hint="eastAsia"/>
          <w:sz w:val="28"/>
          <w:szCs w:val="28"/>
        </w:rPr>
        <w:t>百合灰黴病的發生</w:t>
      </w:r>
      <w:r w:rsidRPr="000A421E">
        <w:rPr>
          <w:rFonts w:ascii="華康標楷體(P)" w:eastAsia="華康標楷體(P)" w:hAnsi="微軟正黑體" w:hint="eastAsia"/>
          <w:sz w:val="28"/>
          <w:szCs w:val="28"/>
        </w:rPr>
        <w:t>。</w:t>
      </w:r>
    </w:p>
    <w:sectPr w:rsidR="00EB7798" w:rsidRPr="000A421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C9A" w:rsidRDefault="009D3C9A" w:rsidP="000A421E">
      <w:r>
        <w:separator/>
      </w:r>
    </w:p>
  </w:endnote>
  <w:endnote w:type="continuationSeparator" w:id="0">
    <w:p w:rsidR="009D3C9A" w:rsidRDefault="009D3C9A" w:rsidP="000A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221869"/>
      <w:docPartObj>
        <w:docPartGallery w:val="Page Numbers (Bottom of Page)"/>
        <w:docPartUnique/>
      </w:docPartObj>
    </w:sdtPr>
    <w:sdtContent>
      <w:p w:rsidR="000A421E" w:rsidRDefault="000A421E">
        <w:pPr>
          <w:pStyle w:val="a7"/>
          <w:jc w:val="center"/>
        </w:pPr>
        <w:r w:rsidRPr="000A421E">
          <w:rPr>
            <w:rFonts w:ascii="華康標楷體(P)" w:eastAsia="華康標楷體(P)" w:hint="eastAsia"/>
          </w:rPr>
          <w:fldChar w:fldCharType="begin"/>
        </w:r>
        <w:r w:rsidRPr="000A421E">
          <w:rPr>
            <w:rFonts w:ascii="華康標楷體(P)" w:eastAsia="華康標楷體(P)" w:hint="eastAsia"/>
          </w:rPr>
          <w:instrText>PAGE   \* MERGEFORMAT</w:instrText>
        </w:r>
        <w:r w:rsidRPr="000A421E">
          <w:rPr>
            <w:rFonts w:ascii="華康標楷體(P)" w:eastAsia="華康標楷體(P)" w:hint="eastAsia"/>
          </w:rPr>
          <w:fldChar w:fldCharType="separate"/>
        </w:r>
        <w:r w:rsidR="00DC3029" w:rsidRPr="00DC3029">
          <w:rPr>
            <w:rFonts w:ascii="華康標楷體(P)" w:eastAsia="華康標楷體(P)"/>
            <w:noProof/>
            <w:lang w:val="zh-TW"/>
          </w:rPr>
          <w:t>1</w:t>
        </w:r>
        <w:r w:rsidRPr="000A421E">
          <w:rPr>
            <w:rFonts w:ascii="華康標楷體(P)" w:eastAsia="華康標楷體(P)" w:hint="eastAsia"/>
          </w:rPr>
          <w:fldChar w:fldCharType="end"/>
        </w:r>
      </w:p>
    </w:sdtContent>
  </w:sdt>
  <w:p w:rsidR="000A421E" w:rsidRDefault="000A42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C9A" w:rsidRDefault="009D3C9A" w:rsidP="000A421E">
      <w:r>
        <w:separator/>
      </w:r>
    </w:p>
  </w:footnote>
  <w:footnote w:type="continuationSeparator" w:id="0">
    <w:p w:rsidR="009D3C9A" w:rsidRDefault="009D3C9A" w:rsidP="000A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2C"/>
    <w:rsid w:val="0001501D"/>
    <w:rsid w:val="000A421E"/>
    <w:rsid w:val="00276B8C"/>
    <w:rsid w:val="0058064D"/>
    <w:rsid w:val="00883393"/>
    <w:rsid w:val="009B1F2C"/>
    <w:rsid w:val="009D3C9A"/>
    <w:rsid w:val="00A64B92"/>
    <w:rsid w:val="00AA4E12"/>
    <w:rsid w:val="00BC0413"/>
    <w:rsid w:val="00DC3029"/>
    <w:rsid w:val="00E4365A"/>
    <w:rsid w:val="00EB7798"/>
    <w:rsid w:val="00E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4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42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4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4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4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42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4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4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花卉中心-謝廷芳</dc:creator>
  <cp:lastModifiedBy>所長室-施碧茹</cp:lastModifiedBy>
  <cp:revision>6</cp:revision>
  <dcterms:created xsi:type="dcterms:W3CDTF">2016-11-01T05:28:00Z</dcterms:created>
  <dcterms:modified xsi:type="dcterms:W3CDTF">2016-11-01T05:31:00Z</dcterms:modified>
</cp:coreProperties>
</file>