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6A" w:rsidRPr="00A83224" w:rsidRDefault="000213BA" w:rsidP="00164466">
      <w:pPr>
        <w:snapToGrid w:val="0"/>
        <w:spacing w:line="360" w:lineRule="auto"/>
        <w:jc w:val="center"/>
        <w:rPr>
          <w:rFonts w:ascii="華康標楷體(P)" w:eastAsia="華康標楷體(P)"/>
          <w:b/>
          <w:color w:val="000000"/>
          <w:sz w:val="32"/>
          <w:szCs w:val="32"/>
        </w:rPr>
      </w:pPr>
      <w:r w:rsidRPr="00A83224">
        <w:rPr>
          <w:rFonts w:ascii="華康標楷體(P)" w:eastAsia="華康標楷體(P)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3BDDF" wp14:editId="73A7D75F">
                <wp:simplePos x="0" y="0"/>
                <wp:positionH relativeFrom="column">
                  <wp:posOffset>-186055</wp:posOffset>
                </wp:positionH>
                <wp:positionV relativeFrom="paragraph">
                  <wp:posOffset>-376555</wp:posOffset>
                </wp:positionV>
                <wp:extent cx="871855" cy="390525"/>
                <wp:effectExtent l="0" t="0" r="2349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BEF" w:rsidRPr="00B7678D" w:rsidRDefault="00E23BEF" w:rsidP="008B5783">
                            <w:pPr>
                              <w:snapToGrid w:val="0"/>
                              <w:jc w:val="center"/>
                              <w:rPr>
                                <w:rFonts w:ascii="華康標楷體(P)" w:eastAsia="華康標楷體(P)"/>
                                <w:sz w:val="32"/>
                                <w:szCs w:val="32"/>
                              </w:rPr>
                            </w:pPr>
                            <w:r w:rsidRPr="00B7678D">
                              <w:rPr>
                                <w:rFonts w:ascii="華康標楷體(P)" w:eastAsia="華康標楷體(P)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65pt;margin-top:-29.65pt;width:68.6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">
                <v:textbox>
                  <w:txbxContent>
                    <w:p w:rsidR="00E23BEF" w:rsidRPr="00B7678D" w:rsidRDefault="00E23BEF" w:rsidP="008B5783">
                      <w:pPr>
                        <w:snapToGrid w:val="0"/>
                        <w:jc w:val="center"/>
                        <w:rPr>
                          <w:rFonts w:ascii="華康標楷體(P)" w:eastAsia="華康標楷體(P)"/>
                          <w:sz w:val="32"/>
                          <w:szCs w:val="32"/>
                        </w:rPr>
                      </w:pPr>
                      <w:r w:rsidRPr="00B7678D">
                        <w:rPr>
                          <w:rFonts w:ascii="華康標楷體(P)" w:eastAsia="華康標楷體(P)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4466F" w:rsidRPr="00A83224">
        <w:rPr>
          <w:rFonts w:ascii="華康標楷體(P)" w:eastAsia="華康標楷體(P)" w:hint="eastAsia"/>
          <w:b/>
          <w:color w:val="000000"/>
          <w:sz w:val="32"/>
          <w:szCs w:val="32"/>
        </w:rPr>
        <w:t>「</w:t>
      </w:r>
      <w:r w:rsidRPr="00A83224">
        <w:rPr>
          <w:rFonts w:ascii="華康標楷體(P)" w:eastAsia="華康標楷體(P)" w:hint="eastAsia"/>
          <w:b/>
          <w:color w:val="000000"/>
          <w:sz w:val="32"/>
          <w:szCs w:val="32"/>
        </w:rPr>
        <w:t>雞糞粒肥研製技術</w:t>
      </w:r>
      <w:r w:rsidR="00F4466F" w:rsidRPr="00A83224">
        <w:rPr>
          <w:rFonts w:ascii="華康標楷體(P)" w:eastAsia="華康標楷體(P)" w:hint="eastAsia"/>
          <w:b/>
          <w:color w:val="000000"/>
          <w:sz w:val="32"/>
          <w:szCs w:val="32"/>
        </w:rPr>
        <w:t>」</w:t>
      </w:r>
      <w:r w:rsidR="002E79CF" w:rsidRPr="00A83224">
        <w:rPr>
          <w:rFonts w:ascii="華康標楷體(P)" w:eastAsia="華康標楷體(P)" w:hint="eastAsia"/>
          <w:b/>
          <w:color w:val="000000"/>
          <w:sz w:val="32"/>
          <w:szCs w:val="32"/>
        </w:rPr>
        <w:t>簡介</w:t>
      </w:r>
    </w:p>
    <w:p w:rsidR="007C5017" w:rsidRPr="00A83224" w:rsidRDefault="004B3395" w:rsidP="004B3395">
      <w:pPr>
        <w:widowControl/>
        <w:snapToGrid w:val="0"/>
        <w:spacing w:beforeLines="50" w:before="180" w:line="360" w:lineRule="auto"/>
        <w:ind w:firstLineChars="202" w:firstLine="549"/>
        <w:jc w:val="both"/>
        <w:rPr>
          <w:rFonts w:ascii="華康標楷體(P)" w:eastAsia="華康標楷體(P)" w:hAnsi="標楷體"/>
          <w:color w:val="000000" w:themeColor="text1"/>
          <w:spacing w:val="-4"/>
          <w:kern w:val="0"/>
          <w:sz w:val="28"/>
          <w:szCs w:val="28"/>
        </w:rPr>
      </w:pP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將生雞糞經由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粉粹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、</w:t>
      </w:r>
      <w:r w:rsidR="00002EF5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輸送、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調整</w:t>
      </w:r>
      <w:r w:rsidR="00002EF5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原料物理性質、混合、</w:t>
      </w:r>
      <w:proofErr w:type="gramStart"/>
      <w:r w:rsidR="00002EF5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造粒等</w:t>
      </w:r>
      <w:proofErr w:type="gramEnd"/>
      <w:r w:rsidR="00002EF5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程序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後製成粒肥，可以方便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田間肥培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操作、減少農民施用時吸入粉塵、</w:t>
      </w:r>
      <w:r w:rsidR="007F6A8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皮膚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過敏等</w:t>
      </w:r>
      <w:r w:rsidR="007F6A8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身體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健康問題，也可以提升農田周圍之環境品質。本所開發之雞糞粒肥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(如圖)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具有</w:t>
      </w:r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之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優點如下</w:t>
      </w:r>
      <w:r w:rsidR="00A8322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：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(1)</w:t>
      </w:r>
      <w:r w:rsidR="00B35B7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有保水</w:t>
      </w:r>
      <w:proofErr w:type="gramStart"/>
      <w:r w:rsidR="00B35B7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與保肥之</w:t>
      </w:r>
      <w:proofErr w:type="gramEnd"/>
      <w:r w:rsidR="00B35B7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功能，養分不易流失</w:t>
      </w:r>
      <w:r w:rsidR="00B35B72" w:rsidRPr="00A83224">
        <w:rPr>
          <w:rFonts w:ascii="華康標楷體(P)" w:eastAsia="華康標楷體(P)" w:hAnsi="新細明體" w:hint="eastAsia"/>
          <w:color w:val="000000" w:themeColor="text1"/>
          <w:spacing w:val="-4"/>
          <w:kern w:val="0"/>
          <w:sz w:val="28"/>
          <w:szCs w:val="28"/>
        </w:rPr>
        <w:t>，</w:t>
      </w:r>
      <w:r w:rsidR="00B35B7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可以提高肥料的經濟效益</w:t>
      </w:r>
      <w:r w:rsidR="00A8322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；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(2)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硬度高</w:t>
      </w:r>
      <w:r w:rsidR="000E10D4" w:rsidRPr="00A83224">
        <w:rPr>
          <w:rFonts w:ascii="華康標楷體(P)" w:eastAsia="華康標楷體(P)" w:hAnsi="新細明體" w:hint="eastAsia"/>
          <w:color w:val="000000" w:themeColor="text1"/>
          <w:spacing w:val="-4"/>
          <w:kern w:val="0"/>
          <w:sz w:val="28"/>
          <w:szCs w:val="28"/>
        </w:rPr>
        <w:t>，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在搬運過程與</w:t>
      </w:r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儲藏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期間不易</w:t>
      </w:r>
      <w:proofErr w:type="gramStart"/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粉粹</w:t>
      </w:r>
      <w:proofErr w:type="gramEnd"/>
      <w:r w:rsidR="000E10D4" w:rsidRPr="00A83224">
        <w:rPr>
          <w:rFonts w:ascii="華康標楷體(P)" w:eastAsia="華康標楷體(P)" w:hAnsi="新細明體" w:hint="eastAsia"/>
          <w:color w:val="000000" w:themeColor="text1"/>
          <w:spacing w:val="-4"/>
          <w:kern w:val="0"/>
          <w:sz w:val="28"/>
          <w:szCs w:val="28"/>
        </w:rPr>
        <w:t>，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田間施用沒有粉塵的問題，有助於農民的身體健康</w:t>
      </w:r>
      <w:r w:rsidR="00A8322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；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(3)經檢測沒有大腸桿菌、沙門氏菌與線蟲，是一項安全農業資材</w:t>
      </w:r>
      <w:r w:rsidR="00A8322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；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(4)密度較生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雞糞高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，每單位重量之體積減少30%～60%，易於運輸與儲存，同時可以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減少肥培管理</w:t>
      </w:r>
      <w:proofErr w:type="gramEnd"/>
      <w:r w:rsidR="00E90D7D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之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勞力</w:t>
      </w:r>
      <w:r w:rsidR="008B5783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；</w:t>
      </w:r>
      <w:r w:rsidR="007F6A8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(5)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造粒成本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低，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在</w:t>
      </w:r>
      <w:r w:rsidR="00E90D7D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售價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方面</w:t>
      </w:r>
      <w:r w:rsidR="007F6A8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較之生雞糞或者有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機粒</w:t>
      </w:r>
      <w:r w:rsidR="007F6A8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肥，均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具有市場競爭力。</w:t>
      </w:r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本產品經由南投縣仁愛鄉力行村蔬菜產銷班與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南</w:t>
      </w:r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豐村農民，施用在牛番茄、</w:t>
      </w:r>
      <w:proofErr w:type="gramStart"/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節瓜</w:t>
      </w:r>
      <w:proofErr w:type="gramEnd"/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、青椒、高麗菜、萵苣等作物，在環境衛生與產量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上</w:t>
      </w:r>
      <w:r w:rsidR="007C5017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均獲得正面肯定。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並分別在106年11月</w:t>
      </w:r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6日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與107年6月</w:t>
      </w:r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20日</w:t>
      </w:r>
      <w:r w:rsidR="0010019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辦理「雞糞粒肥田間施用技術」田間觀摩會</w:t>
      </w:r>
      <w:r w:rsidR="00B21FC2" w:rsidRPr="00A83224">
        <w:rPr>
          <w:rFonts w:ascii="華康標楷體(P)" w:eastAsia="華康標楷體(P)" w:hAnsi="新細明體" w:hint="eastAsia"/>
          <w:color w:val="000000" w:themeColor="text1"/>
          <w:spacing w:val="-4"/>
          <w:kern w:val="0"/>
          <w:sz w:val="28"/>
          <w:szCs w:val="28"/>
        </w:rPr>
        <w:t>，</w:t>
      </w:r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獲得與會農民與廠商熱烈響應</w:t>
      </w:r>
      <w:r w:rsidR="0010019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。</w:t>
      </w:r>
      <w:proofErr w:type="gramStart"/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本項</w:t>
      </w:r>
      <w:r w:rsidR="0010019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</w:t>
      </w:r>
      <w:proofErr w:type="gramEnd"/>
      <w:r w:rsidR="0010019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粒肥研製技術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可授權於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肥料公司</w:t>
      </w:r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或者養雞場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，取代農田施用生雞糞衍生之問題。</w:t>
      </w:r>
    </w:p>
    <w:p w:rsidR="007C5017" w:rsidRPr="00A83224" w:rsidRDefault="007C5017" w:rsidP="007C5017">
      <w:pPr>
        <w:widowControl/>
        <w:snapToGrid w:val="0"/>
        <w:spacing w:beforeLines="50" w:before="180" w:line="360" w:lineRule="auto"/>
        <w:ind w:firstLineChars="202" w:firstLine="549"/>
        <w:jc w:val="both"/>
        <w:rPr>
          <w:rFonts w:ascii="華康標楷體(P)" w:eastAsia="華康標楷體(P)" w:hAnsi="標楷體"/>
          <w:color w:val="000000" w:themeColor="text1"/>
          <w:spacing w:val="-4"/>
          <w:kern w:val="0"/>
          <w:sz w:val="28"/>
          <w:szCs w:val="28"/>
        </w:rPr>
      </w:pP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農委會統計資料顯示，</w:t>
      </w:r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台灣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飼養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總雞數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大約為1億隻，隻雞每日排泄約為140公克，肥料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三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要素量</w:t>
      </w:r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全氮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-</w:t>
      </w:r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氧化磷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-</w:t>
      </w:r>
      <w:proofErr w:type="gramStart"/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氧化鉀</w:t>
      </w:r>
      <w:r w:rsidR="00B21FC2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約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為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3-2.5-3。以每年農地施氮量400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公斤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/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公頃</w:t>
      </w: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計算，則每年</w:t>
      </w:r>
      <w:proofErr w:type="gramStart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雞糞能提供</w:t>
      </w:r>
      <w:proofErr w:type="gramEnd"/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18萬公頃農地氮之需要量。</w:t>
      </w:r>
      <w:proofErr w:type="gramStart"/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另</w:t>
      </w:r>
      <w:proofErr w:type="gramEnd"/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，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台灣雞</w:t>
      </w:r>
      <w:r w:rsidR="00E90D7D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隻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每年排泄之生</w:t>
      </w:r>
      <w:proofErr w:type="gramStart"/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雞糞約可</w:t>
      </w:r>
      <w:proofErr w:type="gramEnd"/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產製1,100,000公噸</w:t>
      </w:r>
      <w:r w:rsidR="0097153F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之</w:t>
      </w:r>
      <w:r w:rsidR="00BD2DF0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雞糞粒肥，如果每公斤售價7.5元，市場產值超過80億元。</w:t>
      </w:r>
    </w:p>
    <w:p w:rsidR="00BD2DF0" w:rsidRPr="00A83224" w:rsidRDefault="0097153F" w:rsidP="0097153F">
      <w:pPr>
        <w:widowControl/>
        <w:snapToGrid w:val="0"/>
        <w:spacing w:beforeLines="50" w:before="180" w:line="360" w:lineRule="auto"/>
        <w:ind w:firstLineChars="202" w:firstLine="566"/>
        <w:jc w:val="both"/>
        <w:rPr>
          <w:rFonts w:ascii="華康標楷體(P)" w:eastAsia="華康標楷體(P)" w:hAnsi="標楷體"/>
          <w:color w:val="000000" w:themeColor="text1"/>
          <w:spacing w:val="-4"/>
          <w:kern w:val="0"/>
          <w:sz w:val="28"/>
          <w:szCs w:val="28"/>
        </w:rPr>
      </w:pPr>
      <w:r w:rsidRPr="00A83224">
        <w:rPr>
          <w:rFonts w:ascii="華康標楷體(P)" w:eastAsia="華康標楷體(P)" w:hAnsi="標楷體" w:hint="eastAsia"/>
          <w:noProof/>
          <w:color w:val="000000" w:themeColor="text1"/>
          <w:spacing w:val="-4"/>
          <w:kern w:val="0"/>
          <w:sz w:val="28"/>
          <w:szCs w:val="28"/>
        </w:rPr>
        <w:lastRenderedPageBreak/>
        <w:drawing>
          <wp:inline distT="0" distB="0" distL="0" distR="0" wp14:anchorId="08FE3CAB" wp14:editId="1C6A27D7">
            <wp:extent cx="3810000" cy="4448608"/>
            <wp:effectExtent l="0" t="0" r="0" b="9525"/>
            <wp:docPr id="3" name="圖片 3" descr="D:\107\試驗照片\回利肥\回利肥P_20151209_150723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7\試驗照片\回利肥\回利肥P_20151209_150723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563" cy="445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10D4" w:rsidRPr="00A83224" w:rsidRDefault="00100194" w:rsidP="00A83224">
      <w:pPr>
        <w:widowControl/>
        <w:snapToGrid w:val="0"/>
        <w:spacing w:line="360" w:lineRule="auto"/>
        <w:ind w:firstLineChars="202" w:firstLine="549"/>
        <w:rPr>
          <w:rFonts w:ascii="華康標楷體(P)" w:eastAsia="華康標楷體(P)" w:hAnsi="標楷體"/>
          <w:color w:val="000000" w:themeColor="text1"/>
          <w:spacing w:val="-4"/>
          <w:kern w:val="0"/>
          <w:sz w:val="28"/>
          <w:szCs w:val="28"/>
        </w:rPr>
      </w:pPr>
      <w:r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農業試驗所研製之</w:t>
      </w:r>
      <w:r w:rsidR="000E10D4" w:rsidRPr="00A83224">
        <w:rPr>
          <w:rFonts w:ascii="華康標楷體(P)" w:eastAsia="華康標楷體(P)" w:hAnsi="標楷體" w:hint="eastAsia"/>
          <w:color w:val="000000" w:themeColor="text1"/>
          <w:spacing w:val="-4"/>
          <w:kern w:val="0"/>
          <w:sz w:val="28"/>
          <w:szCs w:val="28"/>
        </w:rPr>
        <w:t>雞糞粒肥</w:t>
      </w:r>
    </w:p>
    <w:sectPr w:rsidR="000E10D4" w:rsidRPr="00A83224" w:rsidSect="00E23BEF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28" w:rsidRDefault="00853D28"/>
  </w:endnote>
  <w:endnote w:type="continuationSeparator" w:id="0">
    <w:p w:rsidR="00853D28" w:rsidRDefault="00853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19697"/>
      <w:docPartObj>
        <w:docPartGallery w:val="Page Numbers (Bottom of Page)"/>
        <w:docPartUnique/>
      </w:docPartObj>
    </w:sdtPr>
    <w:sdtEndPr>
      <w:rPr>
        <w:rFonts w:ascii="華康標楷體(P)" w:eastAsia="華康標楷體(P)" w:hint="eastAsia"/>
      </w:rPr>
    </w:sdtEndPr>
    <w:sdtContent>
      <w:p w:rsidR="00422422" w:rsidRPr="00422422" w:rsidRDefault="00422422">
        <w:pPr>
          <w:pStyle w:val="a5"/>
          <w:jc w:val="center"/>
          <w:rPr>
            <w:rFonts w:ascii="華康標楷體(P)" w:eastAsia="華康標楷體(P)" w:hint="eastAsia"/>
          </w:rPr>
        </w:pPr>
        <w:r w:rsidRPr="00422422">
          <w:rPr>
            <w:rFonts w:ascii="華康標楷體(P)" w:eastAsia="華康標楷體(P)" w:hint="eastAsia"/>
          </w:rPr>
          <w:fldChar w:fldCharType="begin"/>
        </w:r>
        <w:r w:rsidRPr="00422422">
          <w:rPr>
            <w:rFonts w:ascii="華康標楷體(P)" w:eastAsia="華康標楷體(P)" w:hint="eastAsia"/>
          </w:rPr>
          <w:instrText>PAGE   \* MERGEFORMAT</w:instrText>
        </w:r>
        <w:r w:rsidRPr="00422422">
          <w:rPr>
            <w:rFonts w:ascii="華康標楷體(P)" w:eastAsia="華康標楷體(P)" w:hint="eastAsia"/>
          </w:rPr>
          <w:fldChar w:fldCharType="separate"/>
        </w:r>
        <w:r w:rsidRPr="00422422">
          <w:rPr>
            <w:rFonts w:ascii="華康標楷體(P)" w:eastAsia="華康標楷體(P)"/>
            <w:noProof/>
            <w:lang w:val="zh-TW"/>
          </w:rPr>
          <w:t>2</w:t>
        </w:r>
        <w:r w:rsidRPr="00422422">
          <w:rPr>
            <w:rFonts w:ascii="華康標楷體(P)" w:eastAsia="華康標楷體(P)" w:hint="eastAsia"/>
          </w:rPr>
          <w:fldChar w:fldCharType="end"/>
        </w:r>
      </w:p>
    </w:sdtContent>
  </w:sdt>
  <w:p w:rsidR="00422422" w:rsidRDefault="004224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28" w:rsidRDefault="00853D28"/>
  </w:footnote>
  <w:footnote w:type="continuationSeparator" w:id="0">
    <w:p w:rsidR="00853D28" w:rsidRDefault="00853D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AA6"/>
    <w:multiLevelType w:val="hybridMultilevel"/>
    <w:tmpl w:val="A4BEB94C"/>
    <w:lvl w:ilvl="0" w:tplc="20CEE3CC">
      <w:start w:val="1"/>
      <w:numFmt w:val="taiwaneseCountingThousand"/>
      <w:lvlText w:val="%1、"/>
      <w:lvlJc w:val="left"/>
      <w:pPr>
        <w:ind w:left="1922" w:hanging="720"/>
      </w:pPr>
      <w:rPr>
        <w:rFonts w:ascii="華康標楷體(P)" w:eastAsia="華康標楷體(P)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">
    <w:nsid w:val="30171A9B"/>
    <w:multiLevelType w:val="hybridMultilevel"/>
    <w:tmpl w:val="2E8AF316"/>
    <w:lvl w:ilvl="0" w:tplc="8F6816C0">
      <w:start w:val="1"/>
      <w:numFmt w:val="taiwaneseCountingThousand"/>
      <w:lvlText w:val="(%1)"/>
      <w:lvlJc w:val="left"/>
      <w:pPr>
        <w:ind w:left="103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5384310D"/>
    <w:multiLevelType w:val="hybridMultilevel"/>
    <w:tmpl w:val="9E7450E0"/>
    <w:lvl w:ilvl="0" w:tplc="FD1CE534">
      <w:start w:val="1"/>
      <w:numFmt w:val="taiwaneseCountingThousand"/>
      <w:lvlText w:val="(%1)"/>
      <w:lvlJc w:val="left"/>
      <w:pPr>
        <w:tabs>
          <w:tab w:val="num" w:pos="568"/>
        </w:tabs>
        <w:ind w:left="568" w:hanging="54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3">
    <w:nsid w:val="6241203C"/>
    <w:multiLevelType w:val="hybridMultilevel"/>
    <w:tmpl w:val="1390C104"/>
    <w:lvl w:ilvl="0" w:tplc="6D4C9D0E">
      <w:start w:val="1"/>
      <w:numFmt w:val="taiwaneseCountingThousand"/>
      <w:lvlText w:val="(%1)"/>
      <w:lvlJc w:val="left"/>
      <w:pPr>
        <w:ind w:left="1146" w:hanging="480"/>
      </w:pPr>
      <w:rPr>
        <w:rFonts w:hint="default"/>
      </w:rPr>
    </w:lvl>
    <w:lvl w:ilvl="1" w:tplc="415244A8">
      <w:start w:val="2"/>
      <w:numFmt w:val="taiwaneseCountingThousand"/>
      <w:lvlText w:val="%2、"/>
      <w:lvlJc w:val="left"/>
      <w:pPr>
        <w:ind w:left="18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4">
    <w:nsid w:val="6CB827EC"/>
    <w:multiLevelType w:val="hybridMultilevel"/>
    <w:tmpl w:val="FBB4B0F2"/>
    <w:lvl w:ilvl="0" w:tplc="606A5108">
      <w:start w:val="1"/>
      <w:numFmt w:val="taiwaneseCountingThousand"/>
      <w:lvlText w:val="%1、"/>
      <w:lvlJc w:val="left"/>
      <w:pPr>
        <w:ind w:left="70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5">
    <w:nsid w:val="6EDB10EE"/>
    <w:multiLevelType w:val="hybridMultilevel"/>
    <w:tmpl w:val="756C0D42"/>
    <w:lvl w:ilvl="0" w:tplc="E2FC6E36">
      <w:start w:val="1"/>
      <w:numFmt w:val="taiwaneseCountingThousand"/>
      <w:lvlText w:val="(%1)"/>
      <w:lvlJc w:val="left"/>
      <w:pPr>
        <w:ind w:left="2229" w:hanging="46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6">
    <w:nsid w:val="6F8B76EA"/>
    <w:multiLevelType w:val="hybridMultilevel"/>
    <w:tmpl w:val="2988C32A"/>
    <w:lvl w:ilvl="0" w:tplc="510248DA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CF"/>
    <w:rsid w:val="00000297"/>
    <w:rsid w:val="00002EF5"/>
    <w:rsid w:val="00004035"/>
    <w:rsid w:val="000213BA"/>
    <w:rsid w:val="000258EA"/>
    <w:rsid w:val="000876E5"/>
    <w:rsid w:val="000E10D4"/>
    <w:rsid w:val="00100194"/>
    <w:rsid w:val="00121CB4"/>
    <w:rsid w:val="0014170C"/>
    <w:rsid w:val="00164466"/>
    <w:rsid w:val="00164612"/>
    <w:rsid w:val="00166D2E"/>
    <w:rsid w:val="00167CB7"/>
    <w:rsid w:val="0017621B"/>
    <w:rsid w:val="00186D64"/>
    <w:rsid w:val="001923C0"/>
    <w:rsid w:val="001A0E34"/>
    <w:rsid w:val="001B5B2E"/>
    <w:rsid w:val="001C5B7C"/>
    <w:rsid w:val="001F756E"/>
    <w:rsid w:val="002121BE"/>
    <w:rsid w:val="0022148C"/>
    <w:rsid w:val="00257CE7"/>
    <w:rsid w:val="002936C3"/>
    <w:rsid w:val="002D40B4"/>
    <w:rsid w:val="002E79CF"/>
    <w:rsid w:val="00317D10"/>
    <w:rsid w:val="00342C2B"/>
    <w:rsid w:val="00353F1B"/>
    <w:rsid w:val="0037230D"/>
    <w:rsid w:val="00375D25"/>
    <w:rsid w:val="00380452"/>
    <w:rsid w:val="004042B5"/>
    <w:rsid w:val="004139CC"/>
    <w:rsid w:val="00422422"/>
    <w:rsid w:val="00447F83"/>
    <w:rsid w:val="004B3395"/>
    <w:rsid w:val="004D10BC"/>
    <w:rsid w:val="004F60FD"/>
    <w:rsid w:val="00500E9A"/>
    <w:rsid w:val="00505E8F"/>
    <w:rsid w:val="00517580"/>
    <w:rsid w:val="00576E3D"/>
    <w:rsid w:val="005B20D2"/>
    <w:rsid w:val="005B3846"/>
    <w:rsid w:val="005E2897"/>
    <w:rsid w:val="006111EE"/>
    <w:rsid w:val="00625BA0"/>
    <w:rsid w:val="00660E14"/>
    <w:rsid w:val="00667B75"/>
    <w:rsid w:val="006D1045"/>
    <w:rsid w:val="006D546A"/>
    <w:rsid w:val="0070417E"/>
    <w:rsid w:val="007102B5"/>
    <w:rsid w:val="0075103F"/>
    <w:rsid w:val="00765DCE"/>
    <w:rsid w:val="00775665"/>
    <w:rsid w:val="007C5017"/>
    <w:rsid w:val="007D36A9"/>
    <w:rsid w:val="007E253D"/>
    <w:rsid w:val="007F6A87"/>
    <w:rsid w:val="00811BA4"/>
    <w:rsid w:val="008174F3"/>
    <w:rsid w:val="0083056A"/>
    <w:rsid w:val="00843091"/>
    <w:rsid w:val="00853D28"/>
    <w:rsid w:val="0089323F"/>
    <w:rsid w:val="008A7582"/>
    <w:rsid w:val="008B5783"/>
    <w:rsid w:val="008E0220"/>
    <w:rsid w:val="009020BC"/>
    <w:rsid w:val="00941E65"/>
    <w:rsid w:val="0097153F"/>
    <w:rsid w:val="009814E6"/>
    <w:rsid w:val="009A33B5"/>
    <w:rsid w:val="00A221B3"/>
    <w:rsid w:val="00A23904"/>
    <w:rsid w:val="00A72EAF"/>
    <w:rsid w:val="00A74DD4"/>
    <w:rsid w:val="00A83224"/>
    <w:rsid w:val="00A86307"/>
    <w:rsid w:val="00AA171B"/>
    <w:rsid w:val="00AA3392"/>
    <w:rsid w:val="00AB7F14"/>
    <w:rsid w:val="00B21FC2"/>
    <w:rsid w:val="00B2268E"/>
    <w:rsid w:val="00B35B44"/>
    <w:rsid w:val="00B35B72"/>
    <w:rsid w:val="00B37DBE"/>
    <w:rsid w:val="00B7678D"/>
    <w:rsid w:val="00B86088"/>
    <w:rsid w:val="00B91C47"/>
    <w:rsid w:val="00B9741D"/>
    <w:rsid w:val="00BD0228"/>
    <w:rsid w:val="00BD2DF0"/>
    <w:rsid w:val="00BE2EA2"/>
    <w:rsid w:val="00C54E32"/>
    <w:rsid w:val="00C63318"/>
    <w:rsid w:val="00C765A8"/>
    <w:rsid w:val="00C8051B"/>
    <w:rsid w:val="00C86DCF"/>
    <w:rsid w:val="00D166A7"/>
    <w:rsid w:val="00D254BB"/>
    <w:rsid w:val="00D37522"/>
    <w:rsid w:val="00DB1731"/>
    <w:rsid w:val="00DB5F6C"/>
    <w:rsid w:val="00DF3EE5"/>
    <w:rsid w:val="00E23BEF"/>
    <w:rsid w:val="00E33836"/>
    <w:rsid w:val="00E6058E"/>
    <w:rsid w:val="00E64DC9"/>
    <w:rsid w:val="00E75FCE"/>
    <w:rsid w:val="00E90D7D"/>
    <w:rsid w:val="00EC3145"/>
    <w:rsid w:val="00EC5AB8"/>
    <w:rsid w:val="00F4466F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9CF"/>
    <w:pPr>
      <w:widowControl w:val="0"/>
      <w:autoSpaceDE w:val="0"/>
      <w:autoSpaceDN w:val="0"/>
      <w:adjustRightInd w:val="0"/>
    </w:pPr>
    <w:rPr>
      <w:rFonts w:ascii="DF Kai Shu" w:eastAsia="DF Kai Shu" w:cs="DF Kai Shu"/>
      <w:color w:val="000000"/>
      <w:sz w:val="24"/>
      <w:szCs w:val="24"/>
    </w:rPr>
  </w:style>
  <w:style w:type="paragraph" w:styleId="a3">
    <w:name w:val="header"/>
    <w:basedOn w:val="a"/>
    <w:link w:val="a4"/>
    <w:rsid w:val="00DB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1731"/>
    <w:rPr>
      <w:kern w:val="2"/>
    </w:rPr>
  </w:style>
  <w:style w:type="paragraph" w:styleId="a5">
    <w:name w:val="footer"/>
    <w:basedOn w:val="a"/>
    <w:link w:val="a6"/>
    <w:uiPriority w:val="99"/>
    <w:rsid w:val="00DB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1731"/>
    <w:rPr>
      <w:kern w:val="2"/>
    </w:rPr>
  </w:style>
  <w:style w:type="table" w:styleId="a7">
    <w:name w:val="Table Grid"/>
    <w:basedOn w:val="a1"/>
    <w:rsid w:val="00D37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00E9A"/>
  </w:style>
  <w:style w:type="paragraph" w:styleId="a8">
    <w:name w:val="List Paragraph"/>
    <w:basedOn w:val="a"/>
    <w:uiPriority w:val="34"/>
    <w:qFormat/>
    <w:rsid w:val="00004035"/>
    <w:pPr>
      <w:ind w:leftChars="200" w:left="480"/>
    </w:pPr>
  </w:style>
  <w:style w:type="paragraph" w:styleId="a9">
    <w:name w:val="Balloon Text"/>
    <w:basedOn w:val="a"/>
    <w:link w:val="aa"/>
    <w:rsid w:val="004B3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B3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9CF"/>
    <w:pPr>
      <w:widowControl w:val="0"/>
      <w:autoSpaceDE w:val="0"/>
      <w:autoSpaceDN w:val="0"/>
      <w:adjustRightInd w:val="0"/>
    </w:pPr>
    <w:rPr>
      <w:rFonts w:ascii="DF Kai Shu" w:eastAsia="DF Kai Shu" w:cs="DF Kai Shu"/>
      <w:color w:val="000000"/>
      <w:sz w:val="24"/>
      <w:szCs w:val="24"/>
    </w:rPr>
  </w:style>
  <w:style w:type="paragraph" w:styleId="a3">
    <w:name w:val="header"/>
    <w:basedOn w:val="a"/>
    <w:link w:val="a4"/>
    <w:rsid w:val="00DB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1731"/>
    <w:rPr>
      <w:kern w:val="2"/>
    </w:rPr>
  </w:style>
  <w:style w:type="paragraph" w:styleId="a5">
    <w:name w:val="footer"/>
    <w:basedOn w:val="a"/>
    <w:link w:val="a6"/>
    <w:uiPriority w:val="99"/>
    <w:rsid w:val="00DB1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1731"/>
    <w:rPr>
      <w:kern w:val="2"/>
    </w:rPr>
  </w:style>
  <w:style w:type="table" w:styleId="a7">
    <w:name w:val="Table Grid"/>
    <w:basedOn w:val="a1"/>
    <w:rsid w:val="00D37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00E9A"/>
  </w:style>
  <w:style w:type="paragraph" w:styleId="a8">
    <w:name w:val="List Paragraph"/>
    <w:basedOn w:val="a"/>
    <w:uiPriority w:val="34"/>
    <w:qFormat/>
    <w:rsid w:val="00004035"/>
    <w:pPr>
      <w:ind w:leftChars="200" w:left="480"/>
    </w:pPr>
  </w:style>
  <w:style w:type="paragraph" w:styleId="a9">
    <w:name w:val="Balloon Text"/>
    <w:basedOn w:val="a"/>
    <w:link w:val="aa"/>
    <w:rsid w:val="004B3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B3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29A9-FBD1-484D-9970-6B5045B0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97</Words>
  <Characters>558</Characters>
  <Application>Microsoft Office Word</Application>
  <DocSecurity>0</DocSecurity>
  <Lines>4</Lines>
  <Paragraphs>1</Paragraphs>
  <ScaleCrop>false</ScaleCrop>
  <Company>FRC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台農1號紅寶石台農5號喜洋洋品種特性簡介</dc:title>
  <dc:creator>tsai-dm</dc:creator>
  <cp:lastModifiedBy>所長室-施碧茹</cp:lastModifiedBy>
  <cp:revision>3</cp:revision>
  <cp:lastPrinted>2018-08-17T09:09:00Z</cp:lastPrinted>
  <dcterms:created xsi:type="dcterms:W3CDTF">2018-08-14T06:51:00Z</dcterms:created>
  <dcterms:modified xsi:type="dcterms:W3CDTF">2018-08-17T09:09:00Z</dcterms:modified>
</cp:coreProperties>
</file>