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122" w:rsidRPr="0089381D" w:rsidRDefault="00511B12" w:rsidP="00DB787A">
      <w:pPr>
        <w:snapToGrid w:val="0"/>
        <w:spacing w:after="0" w:line="360" w:lineRule="auto"/>
        <w:jc w:val="center"/>
        <w:rPr>
          <w:rFonts w:ascii="華康標楷體(P)" w:eastAsia="華康標楷體(P)" w:hAnsi="標楷體"/>
          <w:b/>
          <w:sz w:val="32"/>
          <w:szCs w:val="32"/>
        </w:rPr>
      </w:pPr>
      <w:r>
        <w:rPr>
          <w:rFonts w:ascii="華康標楷體(P)" w:eastAsia="華康標楷體(P)" w:hAnsi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23F06C" wp14:editId="04CB1FFA">
                <wp:simplePos x="0" y="0"/>
                <wp:positionH relativeFrom="column">
                  <wp:posOffset>-71755</wp:posOffset>
                </wp:positionH>
                <wp:positionV relativeFrom="paragraph">
                  <wp:posOffset>-328930</wp:posOffset>
                </wp:positionV>
                <wp:extent cx="819150" cy="419100"/>
                <wp:effectExtent l="0" t="0" r="1905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B0D" w:rsidRPr="00EB0001" w:rsidRDefault="00295B0D" w:rsidP="00295B0D">
                            <w:pPr>
                              <w:snapToGrid w:val="0"/>
                              <w:spacing w:beforeLines="20" w:before="72" w:after="0" w:line="240" w:lineRule="auto"/>
                              <w:jc w:val="center"/>
                              <w:rPr>
                                <w:rFonts w:ascii="華康標楷體(P)" w:eastAsia="華康標楷體(P)"/>
                                <w:sz w:val="32"/>
                                <w:szCs w:val="32"/>
                              </w:rPr>
                            </w:pPr>
                            <w:r w:rsidRPr="00EB0001">
                              <w:rPr>
                                <w:rFonts w:ascii="華康標楷體(P)" w:eastAsia="華康標楷體(P)" w:hint="eastAsia"/>
                                <w:sz w:val="32"/>
                                <w:szCs w:val="32"/>
                              </w:rPr>
                              <w:t>附件一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.65pt;margin-top:-25.9pt;width:64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" fillcolor="white [3201]" strokeweight=".5pt">
                <v:textbox>
                  <w:txbxContent>
                    <w:p w:rsidR="00295B0D" w:rsidRPr="00EB0001" w:rsidRDefault="00295B0D" w:rsidP="00295B0D">
                      <w:pPr>
                        <w:snapToGrid w:val="0"/>
                        <w:spacing w:beforeLines="20" w:before="72" w:after="0" w:line="240" w:lineRule="auto"/>
                        <w:jc w:val="center"/>
                        <w:rPr>
                          <w:rFonts w:ascii="華康標楷體(P)" w:eastAsia="華康標楷體(P)"/>
                          <w:sz w:val="32"/>
                          <w:szCs w:val="32"/>
                        </w:rPr>
                      </w:pPr>
                      <w:r w:rsidRPr="00EB0001">
                        <w:rPr>
                          <w:rFonts w:ascii="華康標楷體(P)" w:eastAsia="華康標楷體(P)" w:hint="eastAsia"/>
                          <w:sz w:val="32"/>
                          <w:szCs w:val="32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9381D" w:rsidRPr="0089381D">
        <w:rPr>
          <w:rFonts w:ascii="華康標楷體(P)" w:eastAsia="華康標楷體(P)" w:hAnsi="標楷體" w:hint="eastAsia"/>
          <w:b/>
          <w:sz w:val="32"/>
          <w:szCs w:val="32"/>
        </w:rPr>
        <w:t>棗台農</w:t>
      </w:r>
      <w:proofErr w:type="gramEnd"/>
      <w:r w:rsidR="0089381D" w:rsidRPr="0089381D">
        <w:rPr>
          <w:rFonts w:ascii="華康標楷體(P)" w:eastAsia="華康標楷體(P)" w:hAnsi="標楷體" w:hint="eastAsia"/>
          <w:b/>
          <w:sz w:val="32"/>
          <w:szCs w:val="32"/>
        </w:rPr>
        <w:t>13號-雪麗品種特性簡介</w:t>
      </w:r>
    </w:p>
    <w:p w:rsidR="0093037C" w:rsidRPr="00295B0D" w:rsidRDefault="00DA5122" w:rsidP="00DB787A">
      <w:pPr>
        <w:pStyle w:val="a5"/>
        <w:numPr>
          <w:ilvl w:val="0"/>
          <w:numId w:val="2"/>
        </w:numPr>
        <w:snapToGrid w:val="0"/>
        <w:spacing w:after="0" w:line="360" w:lineRule="auto"/>
        <w:ind w:leftChars="0"/>
        <w:jc w:val="both"/>
        <w:rPr>
          <w:rFonts w:ascii="華康標楷體(P)" w:eastAsia="華康標楷體(P)" w:hAnsi="標楷體"/>
          <w:b/>
          <w:sz w:val="28"/>
          <w:szCs w:val="28"/>
        </w:rPr>
      </w:pPr>
      <w:r w:rsidRPr="00295B0D">
        <w:rPr>
          <w:rFonts w:ascii="華康標楷體(P)" w:eastAsia="華康標楷體(P)" w:hAnsi="標楷體" w:hint="eastAsia"/>
          <w:b/>
          <w:sz w:val="28"/>
          <w:szCs w:val="28"/>
        </w:rPr>
        <w:t>品種特性：</w:t>
      </w:r>
    </w:p>
    <w:p w:rsidR="003A7062" w:rsidRDefault="0089381D" w:rsidP="00DB787A">
      <w:pPr>
        <w:snapToGrid w:val="0"/>
        <w:spacing w:after="0" w:line="360" w:lineRule="auto"/>
        <w:ind w:left="630" w:firstLineChars="200" w:firstLine="560"/>
        <w:jc w:val="both"/>
        <w:rPr>
          <w:rFonts w:ascii="華康標楷體(P)" w:eastAsia="華康標楷體(P)" w:hAnsi="標楷體" w:cs="Times New Roman"/>
          <w:sz w:val="28"/>
          <w:szCs w:val="28"/>
        </w:rPr>
      </w:pPr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蜜棗「台農13號-雪麗」果肉細緻、多汁、甜中帶酸、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澀味低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、風味佳，品質穩定，果皮表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面具臘質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，果皮光亮，無褐斑，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平均果重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135-145g(3.5-4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兩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)；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產期早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，果實成熟後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掛樹期較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不會因高溫導致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黃熟過快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，少異味，產量穩定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，著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果量適當，可減少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疏果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工作。樹勢強健枝條柔韌不易斷裂，</w:t>
      </w:r>
      <w:proofErr w:type="gramStart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刺少且短</w:t>
      </w:r>
      <w:proofErr w:type="gramEnd"/>
      <w:r w:rsidRPr="0089381D">
        <w:rPr>
          <w:rFonts w:ascii="華康標楷體(P)" w:eastAsia="華康標楷體(P)" w:hAnsi="標楷體" w:cs="Times New Roman" w:hint="eastAsia"/>
          <w:sz w:val="28"/>
          <w:szCs w:val="28"/>
        </w:rPr>
        <w:t>，近於無，方便工作；果實貯藏壽命與中葉品種相當，可望成為優質早生新品種。</w:t>
      </w:r>
    </w:p>
    <w:p w:rsidR="00C4274A" w:rsidRPr="00295B0D" w:rsidRDefault="00DA5122" w:rsidP="00DB787A">
      <w:pPr>
        <w:numPr>
          <w:ilvl w:val="1"/>
          <w:numId w:val="1"/>
        </w:numPr>
        <w:snapToGrid w:val="0"/>
        <w:spacing w:after="0" w:line="360" w:lineRule="auto"/>
        <w:ind w:left="630" w:hanging="602"/>
        <w:jc w:val="both"/>
        <w:rPr>
          <w:rFonts w:ascii="華康標楷體(P)" w:eastAsia="華康標楷體(P)" w:hAnsi="標楷體"/>
          <w:sz w:val="28"/>
          <w:szCs w:val="28"/>
        </w:rPr>
      </w:pPr>
      <w:r w:rsidRPr="00295B0D">
        <w:rPr>
          <w:rFonts w:ascii="華康標楷體(P)" w:eastAsia="華康標楷體(P)" w:hAnsi="標楷體" w:hint="eastAsia"/>
          <w:b/>
          <w:sz w:val="28"/>
          <w:szCs w:val="28"/>
        </w:rPr>
        <w:t>栽培管理應注意事項：</w:t>
      </w:r>
    </w:p>
    <w:p w:rsidR="0089381D" w:rsidRPr="00DB787A" w:rsidRDefault="0089381D" w:rsidP="00DB787A">
      <w:pPr>
        <w:pStyle w:val="a5"/>
        <w:numPr>
          <w:ilvl w:val="2"/>
          <w:numId w:val="7"/>
        </w:numPr>
        <w:snapToGrid w:val="0"/>
        <w:spacing w:after="0" w:line="360" w:lineRule="auto"/>
        <w:ind w:leftChars="0" w:left="1190" w:hanging="532"/>
        <w:jc w:val="both"/>
        <w:rPr>
          <w:rFonts w:ascii="華康標楷體(P)" w:eastAsia="華康標楷體(P)" w:hAnsi="標楷體" w:cs="Times New Roman"/>
          <w:sz w:val="28"/>
          <w:szCs w:val="28"/>
        </w:rPr>
      </w:pPr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本品</w:t>
      </w:r>
      <w:r w:rsidR="00DB787A">
        <w:rPr>
          <w:rFonts w:ascii="華康標楷體(P)" w:eastAsia="華康標楷體(P)" w:hAnsi="標楷體" w:cs="Times New Roman" w:hint="eastAsia"/>
          <w:sz w:val="28"/>
          <w:szCs w:val="28"/>
        </w:rPr>
        <w:t>種</w:t>
      </w:r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枝條柔軟且較具韌性，整枝時不用</w:t>
      </w:r>
      <w:proofErr w:type="gramStart"/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強拉即會</w:t>
      </w:r>
      <w:proofErr w:type="gramEnd"/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自然下垂。</w:t>
      </w:r>
    </w:p>
    <w:p w:rsidR="0089381D" w:rsidRPr="00DB787A" w:rsidRDefault="00DB787A" w:rsidP="00DB787A">
      <w:pPr>
        <w:pStyle w:val="a5"/>
        <w:numPr>
          <w:ilvl w:val="2"/>
          <w:numId w:val="7"/>
        </w:numPr>
        <w:snapToGrid w:val="0"/>
        <w:spacing w:after="0" w:line="360" w:lineRule="auto"/>
        <w:ind w:leftChars="0" w:left="1190" w:hanging="532"/>
        <w:jc w:val="both"/>
        <w:rPr>
          <w:rFonts w:ascii="華康標楷體(P)" w:eastAsia="華康標楷體(P)" w:hAnsi="標楷體" w:cs="Times New Roman"/>
          <w:sz w:val="28"/>
          <w:szCs w:val="28"/>
        </w:rPr>
      </w:pPr>
      <w:r>
        <w:rPr>
          <w:rFonts w:ascii="華康標楷體(P)" w:eastAsia="華康標楷體(P)" w:hAnsi="標楷體" w:cs="Times New Roman" w:hint="eastAsia"/>
          <w:sz w:val="28"/>
          <w:szCs w:val="28"/>
        </w:rPr>
        <w:t>本品種</w:t>
      </w:r>
      <w:proofErr w:type="gramStart"/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幼果期</w:t>
      </w:r>
      <w:proofErr w:type="gramEnd"/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施藥</w:t>
      </w:r>
      <w:bookmarkStart w:id="0" w:name="_GoBack"/>
      <w:bookmarkEnd w:id="0"/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避免多種藥劑混合使用，天氣熱時容易發生藥害。</w:t>
      </w:r>
    </w:p>
    <w:p w:rsidR="0089381D" w:rsidRPr="00DB787A" w:rsidRDefault="0089381D" w:rsidP="00DB787A">
      <w:pPr>
        <w:pStyle w:val="a5"/>
        <w:numPr>
          <w:ilvl w:val="2"/>
          <w:numId w:val="7"/>
        </w:numPr>
        <w:snapToGrid w:val="0"/>
        <w:spacing w:after="0" w:line="360" w:lineRule="auto"/>
        <w:ind w:leftChars="0" w:left="1190" w:hanging="532"/>
        <w:jc w:val="both"/>
        <w:rPr>
          <w:rFonts w:ascii="華康標楷體(P)" w:eastAsia="華康標楷體(P)" w:hAnsi="標楷體" w:cs="Times New Roman"/>
          <w:sz w:val="28"/>
          <w:szCs w:val="28"/>
        </w:rPr>
      </w:pPr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本</w:t>
      </w:r>
      <w:proofErr w:type="gramStart"/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品</w:t>
      </w:r>
      <w:r w:rsidR="00DB787A">
        <w:rPr>
          <w:rFonts w:ascii="華康標楷體(P)" w:eastAsia="華康標楷體(P)" w:hAnsi="標楷體" w:cs="Times New Roman" w:hint="eastAsia"/>
          <w:sz w:val="28"/>
          <w:szCs w:val="28"/>
        </w:rPr>
        <w:t>種</w:t>
      </w:r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對鎂</w:t>
      </w:r>
      <w:proofErr w:type="gramEnd"/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、鉀需求量較高，需適時補充並須持續供應不中斷。</w:t>
      </w:r>
    </w:p>
    <w:p w:rsidR="0089381D" w:rsidRPr="00DB787A" w:rsidRDefault="00DB787A" w:rsidP="00DB787A">
      <w:pPr>
        <w:pStyle w:val="a5"/>
        <w:numPr>
          <w:ilvl w:val="2"/>
          <w:numId w:val="7"/>
        </w:numPr>
        <w:snapToGrid w:val="0"/>
        <w:spacing w:after="0" w:line="360" w:lineRule="auto"/>
        <w:ind w:leftChars="0" w:left="1190" w:hanging="532"/>
        <w:jc w:val="both"/>
        <w:rPr>
          <w:rFonts w:ascii="華康標楷體(P)" w:eastAsia="華康標楷體(P)" w:hAnsi="標楷體" w:cs="Times New Roman"/>
          <w:sz w:val="28"/>
          <w:szCs w:val="28"/>
        </w:rPr>
      </w:pPr>
      <w:r>
        <w:rPr>
          <w:rFonts w:ascii="華康標楷體(P)" w:eastAsia="華康標楷體(P)" w:hAnsi="標楷體" w:cs="Times New Roman" w:hint="eastAsia"/>
          <w:sz w:val="28"/>
          <w:szCs w:val="28"/>
        </w:rPr>
        <w:t>本品種</w:t>
      </w:r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果實大，需適時適量供給水養分，建議結果初期輕</w:t>
      </w:r>
      <w:proofErr w:type="gramStart"/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疏果</w:t>
      </w:r>
      <w:proofErr w:type="gramEnd"/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，後期充分</w:t>
      </w:r>
      <w:proofErr w:type="gramStart"/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疏果</w:t>
      </w:r>
      <w:proofErr w:type="gramEnd"/>
      <w:r w:rsidR="0089381D" w:rsidRPr="00DB787A">
        <w:rPr>
          <w:rFonts w:ascii="華康標楷體(P)" w:eastAsia="華康標楷體(P)" w:hAnsi="標楷體" w:cs="Times New Roman" w:hint="eastAsia"/>
          <w:sz w:val="28"/>
          <w:szCs w:val="28"/>
        </w:rPr>
        <w:t>，可增大果實並提升品質。</w:t>
      </w:r>
    </w:p>
    <w:p w:rsidR="0089381D" w:rsidRPr="00DB787A" w:rsidRDefault="0089381D" w:rsidP="00DB787A">
      <w:pPr>
        <w:pStyle w:val="a5"/>
        <w:numPr>
          <w:ilvl w:val="2"/>
          <w:numId w:val="7"/>
        </w:numPr>
        <w:snapToGrid w:val="0"/>
        <w:spacing w:after="0" w:line="360" w:lineRule="auto"/>
        <w:ind w:leftChars="0" w:left="1190" w:hanging="532"/>
        <w:jc w:val="both"/>
        <w:rPr>
          <w:rFonts w:ascii="華康標楷體(P)" w:eastAsia="華康標楷體(P)" w:hAnsi="標楷體" w:cs="Times New Roman"/>
          <w:sz w:val="28"/>
          <w:szCs w:val="28"/>
        </w:rPr>
      </w:pPr>
      <w:r w:rsidRPr="00DB787A">
        <w:rPr>
          <w:rFonts w:ascii="華康標楷體(P)" w:eastAsia="華康標楷體(P)" w:hAnsi="標楷體" w:cs="Times New Roman" w:hint="eastAsia"/>
          <w:sz w:val="28"/>
          <w:szCs w:val="28"/>
        </w:rPr>
        <w:t>其它病蟲害防治及栽培管理技術可依據一般品種之栽培模式。</w:t>
      </w:r>
    </w:p>
    <w:p w:rsidR="0089381D" w:rsidRPr="0089381D" w:rsidRDefault="0089381D" w:rsidP="00DB787A">
      <w:pPr>
        <w:tabs>
          <w:tab w:val="left" w:pos="5529"/>
        </w:tabs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華康標楷體(P)"/>
          <w:bCs/>
          <w:sz w:val="28"/>
          <w:szCs w:val="28"/>
        </w:rPr>
      </w:pPr>
      <w:r w:rsidRPr="000B5A3D">
        <w:rPr>
          <w:rFonts w:ascii="標楷體" w:eastAsia="標楷體" w:hAnsi="標楷體"/>
          <w:noProof/>
        </w:rPr>
        <w:drawing>
          <wp:inline distT="0" distB="0" distL="0" distR="0" wp14:anchorId="21153505" wp14:editId="459FB857">
            <wp:extent cx="2666332" cy="2000250"/>
            <wp:effectExtent l="0" t="0" r="1270" b="0"/>
            <wp:docPr id="2" name="圖片 2" descr="C:\Users\user\Desktop\CIMG220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IMG2201.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4" cy="2010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0F84">
        <w:rPr>
          <w:b/>
          <w:bCs/>
          <w:noProof/>
        </w:rPr>
        <w:drawing>
          <wp:inline distT="0" distB="0" distL="0" distR="0" wp14:anchorId="1B6FABF0" wp14:editId="2623D0DC">
            <wp:extent cx="2667000" cy="2000750"/>
            <wp:effectExtent l="0" t="0" r="0" b="0"/>
            <wp:docPr id="3" name="圖片 3" descr="C:\Users\user\Desktop\CIMG2219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CIMG2219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374" cy="200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76E" w:rsidRPr="00295B0D">
        <w:rPr>
          <w:rFonts w:ascii="華康標楷體(P)" w:eastAsia="華康標楷體(P)" w:hAnsi="標楷體" w:cs="華康標楷體(P)" w:hint="eastAsia"/>
          <w:bCs/>
          <w:sz w:val="28"/>
          <w:szCs w:val="28"/>
        </w:rPr>
        <w:t xml:space="preserve"> </w:t>
      </w:r>
    </w:p>
    <w:p w:rsidR="00933951" w:rsidRPr="001B089D" w:rsidRDefault="001B089D" w:rsidP="00DB787A">
      <w:pPr>
        <w:snapToGrid w:val="0"/>
        <w:spacing w:after="0" w:line="360" w:lineRule="auto"/>
        <w:ind w:left="630"/>
        <w:jc w:val="both"/>
        <w:rPr>
          <w:rFonts w:ascii="華康標楷體(P)" w:eastAsia="華康標楷體(P)" w:hAnsi="標楷體" w:cs="華康標楷體(P)"/>
          <w:bCs/>
          <w:sz w:val="28"/>
          <w:szCs w:val="28"/>
        </w:rPr>
      </w:pPr>
      <w:r w:rsidRPr="001B089D">
        <w:rPr>
          <w:rFonts w:ascii="華康標楷體(P)" w:eastAsia="華康標楷體(P)" w:hint="eastAsia"/>
          <w:b/>
          <w:bCs/>
          <w:sz w:val="24"/>
          <w:szCs w:val="24"/>
        </w:rPr>
        <w:t>台農13號-</w:t>
      </w:r>
      <w:proofErr w:type="gramStart"/>
      <w:r w:rsidRPr="001B089D">
        <w:rPr>
          <w:rFonts w:ascii="華康標楷體(P)" w:eastAsia="華康標楷體(P)" w:hint="eastAsia"/>
          <w:b/>
          <w:bCs/>
          <w:sz w:val="24"/>
          <w:szCs w:val="24"/>
        </w:rPr>
        <w:t>雪麗果型</w:t>
      </w:r>
      <w:proofErr w:type="gramEnd"/>
      <w:r w:rsidRPr="001B089D">
        <w:rPr>
          <w:rFonts w:ascii="華康標楷體(P)" w:eastAsia="華康標楷體(P)" w:hint="eastAsia"/>
          <w:b/>
          <w:bCs/>
          <w:sz w:val="24"/>
          <w:szCs w:val="24"/>
        </w:rPr>
        <w:t>扁圓，果皮光亮蠟質</w:t>
      </w:r>
      <w:r>
        <w:rPr>
          <w:rFonts w:ascii="華康標楷體(P)" w:eastAsia="華康標楷體(P)" w:hint="eastAsia"/>
          <w:b/>
          <w:bCs/>
          <w:sz w:val="24"/>
          <w:szCs w:val="24"/>
        </w:rPr>
        <w:t xml:space="preserve">      </w:t>
      </w:r>
      <w:r w:rsidRPr="001B089D">
        <w:rPr>
          <w:rFonts w:ascii="華康標楷體(P)" w:eastAsia="華康標楷體(P)" w:hint="eastAsia"/>
          <w:b/>
          <w:bCs/>
          <w:sz w:val="24"/>
          <w:szCs w:val="24"/>
        </w:rPr>
        <w:t>台農13號-雪</w:t>
      </w:r>
      <w:proofErr w:type="gramStart"/>
      <w:r w:rsidRPr="001B089D">
        <w:rPr>
          <w:rFonts w:ascii="華康標楷體(P)" w:eastAsia="華康標楷體(P)" w:hint="eastAsia"/>
          <w:b/>
          <w:bCs/>
          <w:sz w:val="24"/>
          <w:szCs w:val="24"/>
        </w:rPr>
        <w:t>麗著</w:t>
      </w:r>
      <w:proofErr w:type="gramEnd"/>
      <w:r w:rsidRPr="001B089D">
        <w:rPr>
          <w:rFonts w:ascii="華康標楷體(P)" w:eastAsia="華康標楷體(P)" w:hint="eastAsia"/>
          <w:b/>
          <w:bCs/>
          <w:sz w:val="24"/>
          <w:szCs w:val="24"/>
        </w:rPr>
        <w:t>果穩定</w:t>
      </w:r>
    </w:p>
    <w:sectPr w:rsidR="00933951" w:rsidRPr="001B089D" w:rsidSect="002F72C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36D" w:rsidRDefault="0024436D" w:rsidP="007B664B">
      <w:pPr>
        <w:spacing w:line="240" w:lineRule="auto"/>
      </w:pPr>
      <w:r>
        <w:separator/>
      </w:r>
    </w:p>
  </w:endnote>
  <w:endnote w:type="continuationSeparator" w:id="0">
    <w:p w:rsidR="0024436D" w:rsidRDefault="0024436D" w:rsidP="007B66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36D" w:rsidRDefault="0024436D" w:rsidP="007B664B">
      <w:pPr>
        <w:spacing w:line="240" w:lineRule="auto"/>
      </w:pPr>
      <w:r>
        <w:separator/>
      </w:r>
    </w:p>
  </w:footnote>
  <w:footnote w:type="continuationSeparator" w:id="0">
    <w:p w:rsidR="0024436D" w:rsidRDefault="0024436D" w:rsidP="007B66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B0F11"/>
    <w:multiLevelType w:val="hybridMultilevel"/>
    <w:tmpl w:val="47586EDE"/>
    <w:lvl w:ilvl="0" w:tplc="95E28EB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540A01"/>
    <w:multiLevelType w:val="hybridMultilevel"/>
    <w:tmpl w:val="CBE2461C"/>
    <w:lvl w:ilvl="0" w:tplc="68FAB720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2761C1"/>
    <w:multiLevelType w:val="hybridMultilevel"/>
    <w:tmpl w:val="CE843858"/>
    <w:lvl w:ilvl="0" w:tplc="0256F7CC">
      <w:start w:val="1"/>
      <w:numFmt w:val="bullet"/>
      <w:lvlText w:val="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60FB94" w:tentative="1">
      <w:start w:val="1"/>
      <w:numFmt w:val="bullet"/>
      <w:lvlText w:val="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A83DDE" w:tentative="1">
      <w:start w:val="1"/>
      <w:numFmt w:val="bullet"/>
      <w:lvlText w:val="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873F2" w:tentative="1">
      <w:start w:val="1"/>
      <w:numFmt w:val="bullet"/>
      <w:lvlText w:val="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8A1B6A" w:tentative="1">
      <w:start w:val="1"/>
      <w:numFmt w:val="bullet"/>
      <w:lvlText w:val="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A66100" w:tentative="1">
      <w:start w:val="1"/>
      <w:numFmt w:val="bullet"/>
      <w:lvlText w:val="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BC5670" w:tentative="1">
      <w:start w:val="1"/>
      <w:numFmt w:val="bullet"/>
      <w:lvlText w:val="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C9B60" w:tentative="1">
      <w:start w:val="1"/>
      <w:numFmt w:val="bullet"/>
      <w:lvlText w:val="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EA8CE" w:tentative="1">
      <w:start w:val="1"/>
      <w:numFmt w:val="bullet"/>
      <w:lvlText w:val="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857EE8"/>
    <w:multiLevelType w:val="hybridMultilevel"/>
    <w:tmpl w:val="4FF8357C"/>
    <w:lvl w:ilvl="0" w:tplc="1C66C64C">
      <w:start w:val="1"/>
      <w:numFmt w:val="taiwaneseCountingThousand"/>
      <w:lvlText w:val="(%1)"/>
      <w:lvlJc w:val="left"/>
      <w:pPr>
        <w:ind w:left="1095" w:hanging="465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4">
    <w:nsid w:val="54A872C3"/>
    <w:multiLevelType w:val="hybridMultilevel"/>
    <w:tmpl w:val="DBB073A6"/>
    <w:lvl w:ilvl="0" w:tplc="A98877A8">
      <w:start w:val="1"/>
      <w:numFmt w:val="taiwaneseCountingThousand"/>
      <w:lvlText w:val="(%1)"/>
      <w:lvlJc w:val="left"/>
      <w:pPr>
        <w:ind w:left="1110" w:hanging="480"/>
      </w:pPr>
      <w:rPr>
        <w:rFonts w:ascii="華康標楷體(P)" w:eastAsia="華康標楷體(P)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6D4C9D0E">
      <w:start w:val="1"/>
      <w:numFmt w:val="taiwaneseCountingThousand"/>
      <w:lvlText w:val="(%3)"/>
      <w:lvlJc w:val="left"/>
      <w:pPr>
        <w:ind w:left="207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5">
    <w:nsid w:val="6241203C"/>
    <w:multiLevelType w:val="hybridMultilevel"/>
    <w:tmpl w:val="27CC10F2"/>
    <w:lvl w:ilvl="0" w:tplc="6D4C9D0E">
      <w:start w:val="1"/>
      <w:numFmt w:val="taiwaneseCountingThousand"/>
      <w:lvlText w:val="(%1)"/>
      <w:lvlJc w:val="left"/>
      <w:pPr>
        <w:ind w:left="1146" w:hanging="480"/>
      </w:pPr>
      <w:rPr>
        <w:rFonts w:hint="default"/>
      </w:rPr>
    </w:lvl>
    <w:lvl w:ilvl="1" w:tplc="415244A8">
      <w:start w:val="2"/>
      <w:numFmt w:val="taiwaneseCountingThousand"/>
      <w:lvlText w:val="%2、"/>
      <w:lvlJc w:val="left"/>
      <w:pPr>
        <w:ind w:left="1866" w:hanging="720"/>
      </w:pPr>
      <w:rPr>
        <w:rFonts w:hint="default"/>
      </w:rPr>
    </w:lvl>
    <w:lvl w:ilvl="2" w:tplc="83F0315A">
      <w:start w:val="1"/>
      <w:numFmt w:val="decimal"/>
      <w:lvlText w:val="%3."/>
      <w:lvlJc w:val="left"/>
      <w:pPr>
        <w:ind w:left="19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6" w:hanging="480"/>
      </w:pPr>
    </w:lvl>
    <w:lvl w:ilvl="5" w:tplc="0409001B" w:tentative="1">
      <w:start w:val="1"/>
      <w:numFmt w:val="lowerRoman"/>
      <w:lvlText w:val="%6."/>
      <w:lvlJc w:val="right"/>
      <w:pPr>
        <w:ind w:left="3546" w:hanging="480"/>
      </w:pPr>
    </w:lvl>
    <w:lvl w:ilvl="6" w:tplc="0409000F" w:tentative="1">
      <w:start w:val="1"/>
      <w:numFmt w:val="decimal"/>
      <w:lvlText w:val="%7."/>
      <w:lvlJc w:val="left"/>
      <w:pPr>
        <w:ind w:left="40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6" w:hanging="480"/>
      </w:pPr>
    </w:lvl>
    <w:lvl w:ilvl="8" w:tplc="0409001B" w:tentative="1">
      <w:start w:val="1"/>
      <w:numFmt w:val="lowerRoman"/>
      <w:lvlText w:val="%9."/>
      <w:lvlJc w:val="right"/>
      <w:pPr>
        <w:ind w:left="4986" w:hanging="480"/>
      </w:pPr>
    </w:lvl>
  </w:abstractNum>
  <w:abstractNum w:abstractNumId="6">
    <w:nsid w:val="6C9D1593"/>
    <w:multiLevelType w:val="hybridMultilevel"/>
    <w:tmpl w:val="C616C0E0"/>
    <w:lvl w:ilvl="0" w:tplc="A98877A8">
      <w:start w:val="1"/>
      <w:numFmt w:val="taiwaneseCountingThousand"/>
      <w:lvlText w:val="(%1)"/>
      <w:lvlJc w:val="left"/>
      <w:pPr>
        <w:ind w:left="1110" w:hanging="480"/>
      </w:pPr>
      <w:rPr>
        <w:rFonts w:ascii="華康標楷體(P)" w:eastAsia="華康標楷體(P)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BD"/>
    <w:rsid w:val="00090FDE"/>
    <w:rsid w:val="000D2BBD"/>
    <w:rsid w:val="00112F3F"/>
    <w:rsid w:val="0019287B"/>
    <w:rsid w:val="001B089D"/>
    <w:rsid w:val="0024436D"/>
    <w:rsid w:val="0024748C"/>
    <w:rsid w:val="00295B0D"/>
    <w:rsid w:val="002F72C3"/>
    <w:rsid w:val="00320BBD"/>
    <w:rsid w:val="003A7062"/>
    <w:rsid w:val="004837AE"/>
    <w:rsid w:val="004E5CC1"/>
    <w:rsid w:val="004F4F7E"/>
    <w:rsid w:val="00504C31"/>
    <w:rsid w:val="00511B12"/>
    <w:rsid w:val="00531AB5"/>
    <w:rsid w:val="005C576E"/>
    <w:rsid w:val="0060444E"/>
    <w:rsid w:val="00652A3A"/>
    <w:rsid w:val="00702E7E"/>
    <w:rsid w:val="007B664B"/>
    <w:rsid w:val="00823B0C"/>
    <w:rsid w:val="00855405"/>
    <w:rsid w:val="0089381D"/>
    <w:rsid w:val="008A7DC7"/>
    <w:rsid w:val="008C13CE"/>
    <w:rsid w:val="0093037C"/>
    <w:rsid w:val="00933951"/>
    <w:rsid w:val="009A09C3"/>
    <w:rsid w:val="009C56DE"/>
    <w:rsid w:val="00A43887"/>
    <w:rsid w:val="00AA2E5C"/>
    <w:rsid w:val="00AF2F03"/>
    <w:rsid w:val="00B873CC"/>
    <w:rsid w:val="00BA4EB3"/>
    <w:rsid w:val="00BC374D"/>
    <w:rsid w:val="00C4274A"/>
    <w:rsid w:val="00C86EFB"/>
    <w:rsid w:val="00CA06B3"/>
    <w:rsid w:val="00CF4B2E"/>
    <w:rsid w:val="00D472DC"/>
    <w:rsid w:val="00D6476D"/>
    <w:rsid w:val="00D76680"/>
    <w:rsid w:val="00D8213F"/>
    <w:rsid w:val="00DA5122"/>
    <w:rsid w:val="00DB787A"/>
    <w:rsid w:val="00DE4A08"/>
    <w:rsid w:val="00E43624"/>
    <w:rsid w:val="00E579E5"/>
    <w:rsid w:val="00E73828"/>
    <w:rsid w:val="00EB0001"/>
    <w:rsid w:val="00EC1E66"/>
    <w:rsid w:val="00EE315B"/>
    <w:rsid w:val="00F14093"/>
    <w:rsid w:val="00FA688F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2DC"/>
  </w:style>
  <w:style w:type="paragraph" w:styleId="1">
    <w:name w:val="heading 1"/>
    <w:basedOn w:val="a"/>
    <w:next w:val="a"/>
    <w:link w:val="10"/>
    <w:uiPriority w:val="9"/>
    <w:qFormat/>
    <w:rsid w:val="00D472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2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2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2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2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2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2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2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0">
    <w:name w:val="說明A1"/>
    <w:basedOn w:val="a"/>
    <w:link w:val="A11"/>
    <w:rsid w:val="00320BBD"/>
    <w:pPr>
      <w:spacing w:line="440" w:lineRule="exact"/>
      <w:ind w:leftChars="707" w:left="1980" w:hangingChars="202" w:hanging="566"/>
      <w:jc w:val="both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A11">
    <w:name w:val="說明A1 字元"/>
    <w:link w:val="A10"/>
    <w:rsid w:val="00320BBD"/>
    <w:rPr>
      <w:rFonts w:ascii="Times New Roman" w:eastAsia="標楷體" w:hAnsi="Times New Roman" w:cs="Times New Roman"/>
      <w:kern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A7DC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A7DC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DA5122"/>
    <w:pPr>
      <w:widowControl w:val="0"/>
      <w:autoSpaceDE w:val="0"/>
      <w:autoSpaceDN w:val="0"/>
      <w:adjustRightInd w:val="0"/>
      <w:spacing w:line="240" w:lineRule="auto"/>
    </w:pPr>
    <w:rPr>
      <w:rFonts w:ascii="DF Kai Shu" w:eastAsia="DF Kai Shu" w:hAnsi="Times New Roman" w:cs="DF Kai Shu"/>
      <w:color w:val="000000"/>
      <w:szCs w:val="24"/>
    </w:rPr>
  </w:style>
  <w:style w:type="paragraph" w:styleId="a5">
    <w:name w:val="List Paragraph"/>
    <w:basedOn w:val="a"/>
    <w:uiPriority w:val="34"/>
    <w:qFormat/>
    <w:rsid w:val="00D472D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B664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B6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B664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472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D472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標題 4 字元"/>
    <w:basedOn w:val="a0"/>
    <w:link w:val="4"/>
    <w:uiPriority w:val="9"/>
    <w:semiHidden/>
    <w:rsid w:val="00D472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標題 5 字元"/>
    <w:basedOn w:val="a0"/>
    <w:link w:val="5"/>
    <w:uiPriority w:val="9"/>
    <w:semiHidden/>
    <w:rsid w:val="00D472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標題 6 字元"/>
    <w:basedOn w:val="a0"/>
    <w:link w:val="6"/>
    <w:uiPriority w:val="9"/>
    <w:semiHidden/>
    <w:rsid w:val="00D472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標題 7 字元"/>
    <w:basedOn w:val="a0"/>
    <w:link w:val="7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標題 8 字元"/>
    <w:basedOn w:val="a0"/>
    <w:link w:val="8"/>
    <w:uiPriority w:val="9"/>
    <w:semiHidden/>
    <w:rsid w:val="00D472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D47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D472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D472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D472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副標題 字元"/>
    <w:basedOn w:val="a0"/>
    <w:link w:val="ac"/>
    <w:uiPriority w:val="11"/>
    <w:rsid w:val="00D472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D472DC"/>
    <w:rPr>
      <w:b/>
      <w:bCs/>
    </w:rPr>
  </w:style>
  <w:style w:type="character" w:styleId="af">
    <w:name w:val="Emphasis"/>
    <w:basedOn w:val="a0"/>
    <w:uiPriority w:val="20"/>
    <w:qFormat/>
    <w:rsid w:val="00D472DC"/>
    <w:rPr>
      <w:i/>
      <w:iCs/>
    </w:rPr>
  </w:style>
  <w:style w:type="paragraph" w:styleId="af0">
    <w:name w:val="No Spacing"/>
    <w:uiPriority w:val="1"/>
    <w:qFormat/>
    <w:rsid w:val="00D472DC"/>
    <w:pPr>
      <w:spacing w:after="0" w:line="240" w:lineRule="auto"/>
    </w:pPr>
  </w:style>
  <w:style w:type="paragraph" w:styleId="af1">
    <w:name w:val="Quote"/>
    <w:basedOn w:val="a"/>
    <w:next w:val="a"/>
    <w:link w:val="af2"/>
    <w:uiPriority w:val="29"/>
    <w:qFormat/>
    <w:rsid w:val="00D472DC"/>
    <w:rPr>
      <w:i/>
      <w:iCs/>
      <w:color w:val="000000" w:themeColor="text1"/>
    </w:rPr>
  </w:style>
  <w:style w:type="character" w:customStyle="1" w:styleId="af2">
    <w:name w:val="引文 字元"/>
    <w:basedOn w:val="a0"/>
    <w:link w:val="af1"/>
    <w:uiPriority w:val="29"/>
    <w:rsid w:val="00D472DC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D472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4">
    <w:name w:val="鮮明引文 字元"/>
    <w:basedOn w:val="a0"/>
    <w:link w:val="af3"/>
    <w:uiPriority w:val="30"/>
    <w:rsid w:val="00D472DC"/>
    <w:rPr>
      <w:b/>
      <w:bCs/>
      <w:i/>
      <w:iCs/>
      <w:color w:val="4F81BD" w:themeColor="accent1"/>
    </w:rPr>
  </w:style>
  <w:style w:type="character" w:styleId="af5">
    <w:name w:val="Subtle Emphasis"/>
    <w:basedOn w:val="a0"/>
    <w:uiPriority w:val="19"/>
    <w:qFormat/>
    <w:rsid w:val="00D472DC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D472DC"/>
    <w:rPr>
      <w:b/>
      <w:bCs/>
      <w:i/>
      <w:iCs/>
      <w:color w:val="4F81BD" w:themeColor="accent1"/>
    </w:rPr>
  </w:style>
  <w:style w:type="character" w:styleId="af7">
    <w:name w:val="Subtle Reference"/>
    <w:basedOn w:val="a0"/>
    <w:uiPriority w:val="31"/>
    <w:qFormat/>
    <w:rsid w:val="00D472DC"/>
    <w:rPr>
      <w:smallCaps/>
      <w:color w:val="C0504D" w:themeColor="accent2"/>
      <w:u w:val="single"/>
    </w:rPr>
  </w:style>
  <w:style w:type="character" w:styleId="af8">
    <w:name w:val="Intense Reference"/>
    <w:basedOn w:val="a0"/>
    <w:uiPriority w:val="32"/>
    <w:qFormat/>
    <w:rsid w:val="00D472DC"/>
    <w:rPr>
      <w:b/>
      <w:bCs/>
      <w:smallCaps/>
      <w:color w:val="C0504D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D472DC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D472DC"/>
    <w:pPr>
      <w:outlineLvl w:val="9"/>
    </w:pPr>
  </w:style>
  <w:style w:type="paragraph" w:styleId="afb">
    <w:name w:val="caption"/>
    <w:basedOn w:val="a"/>
    <w:next w:val="a"/>
    <w:uiPriority w:val="35"/>
    <w:semiHidden/>
    <w:unhideWhenUsed/>
    <w:qFormat/>
    <w:rsid w:val="00D472D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4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4D27F-9E2C-468B-8772-AF9977B72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dan.li</dc:creator>
  <cp:lastModifiedBy>技服組-施碧茹</cp:lastModifiedBy>
  <cp:revision>6</cp:revision>
  <cp:lastPrinted>2018-07-12T07:58:00Z</cp:lastPrinted>
  <dcterms:created xsi:type="dcterms:W3CDTF">2019-03-11T06:10:00Z</dcterms:created>
  <dcterms:modified xsi:type="dcterms:W3CDTF">2019-03-11T09:08:00Z</dcterms:modified>
</cp:coreProperties>
</file>