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9ABBBA" w14:textId="6436B5F2" w:rsidR="00933482" w:rsidRPr="00C67D42" w:rsidRDefault="00503A5A" w:rsidP="001A686F">
      <w:pPr>
        <w:snapToGrid w:val="0"/>
        <w:spacing w:beforeLines="50" w:before="180" w:line="276" w:lineRule="auto"/>
        <w:jc w:val="center"/>
        <w:rPr>
          <w:rFonts w:eastAsia="標楷體"/>
          <w:b/>
          <w:sz w:val="32"/>
          <w:szCs w:val="32"/>
        </w:rPr>
      </w:pPr>
      <w:r w:rsidRPr="00A675CD">
        <w:rPr>
          <w:rFonts w:eastAsia="標楷體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BE7FC" wp14:editId="28583E5A">
                <wp:simplePos x="0" y="0"/>
                <wp:positionH relativeFrom="column">
                  <wp:posOffset>5162550</wp:posOffset>
                </wp:positionH>
                <wp:positionV relativeFrom="paragraph">
                  <wp:posOffset>-333375</wp:posOffset>
                </wp:positionV>
                <wp:extent cx="866775" cy="409575"/>
                <wp:effectExtent l="0" t="0" r="28575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0E240" w14:textId="77777777" w:rsidR="00503A5A" w:rsidRPr="00A551BA" w:rsidRDefault="00503A5A" w:rsidP="00503A5A">
                            <w:pPr>
                              <w:snapToGrid w:val="0"/>
                              <w:jc w:val="center"/>
                              <w:rPr>
                                <w:rFonts w:ascii="華康標楷體(P)" w:eastAsia="華康標楷體(P)"/>
                                <w:sz w:val="32"/>
                                <w:szCs w:val="32"/>
                              </w:rPr>
                            </w:pPr>
                            <w:r w:rsidRPr="00A551BA">
                              <w:rPr>
                                <w:rFonts w:ascii="華康標楷體(P)" w:eastAsia="華康標楷體(P)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BE7F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06.5pt;margin-top:-26.25pt;width:68.2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" fillcolor="white [3201]" strokeweight=".5pt">
                <v:path arrowok="t"/>
                <v:textbox>
                  <w:txbxContent>
                    <w:p w14:paraId="63F0E240" w14:textId="77777777" w:rsidR="00503A5A" w:rsidRPr="00A551BA" w:rsidRDefault="00503A5A" w:rsidP="00503A5A">
                      <w:pPr>
                        <w:snapToGrid w:val="0"/>
                        <w:jc w:val="center"/>
                        <w:rPr>
                          <w:rFonts w:ascii="華康標楷體(P)" w:eastAsia="華康標楷體(P)"/>
                          <w:sz w:val="32"/>
                          <w:szCs w:val="32"/>
                        </w:rPr>
                      </w:pPr>
                      <w:r w:rsidRPr="00A551BA">
                        <w:rPr>
                          <w:rFonts w:ascii="華康標楷體(P)" w:eastAsia="華康標楷體(P)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933482" w:rsidRPr="00C67D42">
        <w:rPr>
          <w:rFonts w:eastAsia="標楷體"/>
          <w:b/>
          <w:sz w:val="32"/>
          <w:szCs w:val="32"/>
        </w:rPr>
        <w:t>「天然植萃</w:t>
      </w:r>
      <w:bookmarkStart w:id="0" w:name="_Hlk73285534"/>
      <w:r w:rsidR="00933482" w:rsidRPr="00C67D42">
        <w:rPr>
          <w:rFonts w:eastAsia="標楷體"/>
          <w:b/>
          <w:sz w:val="32"/>
          <w:szCs w:val="32"/>
        </w:rPr>
        <w:t>活化強</w:t>
      </w:r>
      <w:bookmarkStart w:id="1" w:name="_GoBack"/>
      <w:bookmarkEnd w:id="1"/>
      <w:r w:rsidR="00933482" w:rsidRPr="00C67D42">
        <w:rPr>
          <w:rFonts w:eastAsia="標楷體"/>
          <w:b/>
          <w:sz w:val="32"/>
          <w:szCs w:val="32"/>
        </w:rPr>
        <w:t>健髮根配方</w:t>
      </w:r>
      <w:bookmarkEnd w:id="0"/>
      <w:r w:rsidR="00933482" w:rsidRPr="00C67D42">
        <w:rPr>
          <w:rFonts w:eastAsia="標楷體"/>
          <w:b/>
          <w:sz w:val="32"/>
          <w:szCs w:val="32"/>
        </w:rPr>
        <w:t>技術」技術簡介</w:t>
      </w:r>
    </w:p>
    <w:p w14:paraId="2A28D7E9" w14:textId="76FEABB9" w:rsidR="001A686F" w:rsidRPr="00C67D42" w:rsidRDefault="001A686F" w:rsidP="00933482">
      <w:pPr>
        <w:snapToGrid w:val="0"/>
        <w:spacing w:line="276" w:lineRule="auto"/>
        <w:ind w:firstLineChars="202" w:firstLine="566"/>
        <w:jc w:val="both"/>
        <w:rPr>
          <w:rFonts w:eastAsia="標楷體"/>
          <w:sz w:val="28"/>
        </w:rPr>
      </w:pPr>
    </w:p>
    <w:p w14:paraId="0F3AA7C0" w14:textId="712C0650" w:rsidR="00744BE8" w:rsidRDefault="00EB4F25" w:rsidP="00EB4F25">
      <w:pPr>
        <w:snapToGrid w:val="0"/>
        <w:spacing w:line="500" w:lineRule="exact"/>
        <w:ind w:firstLineChars="202" w:firstLine="566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近來</w:t>
      </w:r>
      <w:r w:rsidR="00744BE8" w:rsidRPr="00744BE8">
        <w:rPr>
          <w:rFonts w:eastAsia="標楷體" w:hint="eastAsia"/>
          <w:sz w:val="28"/>
        </w:rPr>
        <w:t>消費者對</w:t>
      </w:r>
      <w:r>
        <w:rPr>
          <w:rFonts w:eastAsia="標楷體" w:hint="eastAsia"/>
          <w:sz w:val="28"/>
        </w:rPr>
        <w:t>於皮膚保</w:t>
      </w:r>
      <w:r w:rsidR="00744BE8" w:rsidRPr="00744BE8">
        <w:rPr>
          <w:rFonts w:eastAsia="標楷體" w:hint="eastAsia"/>
          <w:sz w:val="28"/>
        </w:rPr>
        <w:t>養品</w:t>
      </w:r>
      <w:r w:rsidRPr="00744BE8">
        <w:rPr>
          <w:rFonts w:eastAsia="標楷體" w:hint="eastAsia"/>
          <w:sz w:val="28"/>
        </w:rPr>
        <w:t>逐漸朝崇尚天然來源的消費取向</w:t>
      </w:r>
      <w:r w:rsidR="00744BE8" w:rsidRPr="00744BE8">
        <w:rPr>
          <w:rFonts w:eastAsia="標楷體" w:hint="eastAsia"/>
          <w:sz w:val="28"/>
        </w:rPr>
        <w:t>，植物萃取物</w:t>
      </w:r>
      <w:r>
        <w:rPr>
          <w:rFonts w:eastAsia="標楷體" w:hint="eastAsia"/>
          <w:sz w:val="28"/>
        </w:rPr>
        <w:t>成</w:t>
      </w:r>
      <w:r w:rsidR="00744BE8" w:rsidRPr="00744BE8">
        <w:rPr>
          <w:rFonts w:eastAsia="標楷體" w:hint="eastAsia"/>
          <w:sz w:val="28"/>
        </w:rPr>
        <w:t>為市場主流原料，對於消費者具有高度吸引力</w:t>
      </w:r>
      <w:r w:rsidR="00076EEE">
        <w:rPr>
          <w:rFonts w:eastAsia="標楷體" w:hint="eastAsia"/>
          <w:sz w:val="28"/>
        </w:rPr>
        <w:t>。</w:t>
      </w:r>
      <w:r w:rsidR="006F6FC3">
        <w:rPr>
          <w:rFonts w:eastAsia="標楷體" w:hint="eastAsia"/>
          <w:sz w:val="28"/>
        </w:rPr>
        <w:t>本所研發以</w:t>
      </w:r>
      <w:r w:rsidRPr="00C67D42">
        <w:rPr>
          <w:rFonts w:eastAsia="標楷體"/>
          <w:sz w:val="28"/>
        </w:rPr>
        <w:t>萃取</w:t>
      </w:r>
      <w:r w:rsidR="006F6FC3">
        <w:rPr>
          <w:rFonts w:eastAsia="標楷體" w:hint="eastAsia"/>
          <w:sz w:val="28"/>
        </w:rPr>
        <w:t>自</w:t>
      </w:r>
      <w:r w:rsidRPr="00C67D42">
        <w:rPr>
          <w:rFonts w:eastAsia="標楷體"/>
          <w:sz w:val="28"/>
        </w:rPr>
        <w:t>米糠</w:t>
      </w:r>
      <w:r w:rsidR="006F6FC3">
        <w:rPr>
          <w:rFonts w:eastAsia="標楷體" w:hint="eastAsia"/>
          <w:sz w:val="28"/>
        </w:rPr>
        <w:t>的</w:t>
      </w:r>
      <w:r w:rsidRPr="00C67D42">
        <w:rPr>
          <w:rFonts w:eastAsia="標楷體"/>
          <w:sz w:val="28"/>
        </w:rPr>
        <w:t>精華油脂</w:t>
      </w:r>
      <w:r w:rsidR="006F6FC3">
        <w:rPr>
          <w:rFonts w:eastAsia="標楷體"/>
          <w:sz w:val="28"/>
        </w:rPr>
        <w:t>，調製草本複方，可</w:t>
      </w:r>
      <w:r w:rsidR="006F6FC3">
        <w:rPr>
          <w:rFonts w:eastAsia="標楷體" w:hint="eastAsia"/>
          <w:sz w:val="28"/>
        </w:rPr>
        <w:t>應用於開發活化強健</w:t>
      </w:r>
      <w:r w:rsidRPr="00C67D42">
        <w:rPr>
          <w:rFonts w:eastAsia="標楷體"/>
          <w:sz w:val="28"/>
        </w:rPr>
        <w:t>髮根之產品</w:t>
      </w:r>
      <w:r>
        <w:rPr>
          <w:rFonts w:eastAsia="標楷體"/>
          <w:sz w:val="28"/>
        </w:rPr>
        <w:t>。</w:t>
      </w:r>
    </w:p>
    <w:p w14:paraId="3330F6E9" w14:textId="6E15C74B" w:rsidR="00EB4F25" w:rsidRDefault="00EB4F25" w:rsidP="00EB4F25">
      <w:pPr>
        <w:snapToGrid w:val="0"/>
        <w:spacing w:line="500" w:lineRule="exact"/>
        <w:ind w:firstLineChars="202" w:firstLine="566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本</w:t>
      </w:r>
      <w:r w:rsidR="000478C6" w:rsidRPr="00C67D42">
        <w:rPr>
          <w:rFonts w:eastAsia="標楷體"/>
          <w:sz w:val="28"/>
        </w:rPr>
        <w:t>技術包含米糠關鍵機能成分定量分析方法</w:t>
      </w:r>
      <w:r w:rsidR="00281881">
        <w:rPr>
          <w:rFonts w:eastAsia="標楷體"/>
          <w:sz w:val="28"/>
        </w:rPr>
        <w:t>、</w:t>
      </w:r>
      <w:r w:rsidR="000478C6" w:rsidRPr="00C67D42">
        <w:rPr>
          <w:rFonts w:eastAsia="標楷體"/>
          <w:sz w:val="28"/>
        </w:rPr>
        <w:t>微量萃取</w:t>
      </w:r>
      <w:r w:rsidR="000478C6" w:rsidRPr="00C67D42">
        <w:rPr>
          <w:rFonts w:eastAsia="標楷體"/>
          <w:sz w:val="28"/>
        </w:rPr>
        <w:t>(</w:t>
      </w:r>
      <w:r w:rsidR="000478C6" w:rsidRPr="00C67D42">
        <w:rPr>
          <w:rFonts w:eastAsia="標楷體"/>
          <w:sz w:val="28"/>
        </w:rPr>
        <w:t>簡易萃取法，</w:t>
      </w:r>
      <w:r>
        <w:rPr>
          <w:rFonts w:eastAsia="標楷體" w:hint="eastAsia"/>
          <w:sz w:val="28"/>
        </w:rPr>
        <w:t>可</w:t>
      </w:r>
      <w:r w:rsidR="000478C6" w:rsidRPr="00C67D42">
        <w:rPr>
          <w:rFonts w:eastAsia="標楷體"/>
          <w:sz w:val="28"/>
        </w:rPr>
        <w:t>用於原料檢驗</w:t>
      </w:r>
      <w:r w:rsidR="000478C6" w:rsidRPr="00C67D42">
        <w:rPr>
          <w:rFonts w:eastAsia="標楷體"/>
          <w:sz w:val="28"/>
        </w:rPr>
        <w:t>)</w:t>
      </w:r>
      <w:r w:rsidR="000478C6" w:rsidRPr="00C67D42">
        <w:rPr>
          <w:rFonts w:eastAsia="標楷體"/>
          <w:sz w:val="28"/>
        </w:rPr>
        <w:t>、米糠精華油脂萃取技術</w:t>
      </w:r>
      <w:r w:rsidR="000478C6" w:rsidRPr="00C67D42">
        <w:rPr>
          <w:rFonts w:eastAsia="標楷體"/>
          <w:sz w:val="28"/>
        </w:rPr>
        <w:t>(</w:t>
      </w:r>
      <w:r w:rsidR="000478C6" w:rsidRPr="00C67D42">
        <w:rPr>
          <w:rFonts w:eastAsia="標楷體"/>
          <w:sz w:val="28"/>
        </w:rPr>
        <w:t>包含使用溶劑、萃取溫度、後熟等</w:t>
      </w:r>
      <w:r w:rsidR="000478C6" w:rsidRPr="00C67D42">
        <w:rPr>
          <w:rFonts w:eastAsia="標楷體"/>
          <w:sz w:val="28"/>
        </w:rPr>
        <w:t>)</w:t>
      </w:r>
      <w:r>
        <w:rPr>
          <w:rFonts w:eastAsia="標楷體" w:hint="eastAsia"/>
          <w:sz w:val="28"/>
        </w:rPr>
        <w:t>等</w:t>
      </w:r>
      <w:r w:rsidRPr="00C67D42">
        <w:rPr>
          <w:rFonts w:eastAsia="標楷體"/>
          <w:sz w:val="28"/>
        </w:rPr>
        <w:t>精煉製程</w:t>
      </w:r>
      <w:r>
        <w:rPr>
          <w:rFonts w:eastAsia="標楷體"/>
          <w:sz w:val="28"/>
        </w:rPr>
        <w:t>；</w:t>
      </w:r>
      <w:r>
        <w:rPr>
          <w:rFonts w:eastAsia="標楷體" w:hint="eastAsia"/>
          <w:sz w:val="28"/>
        </w:rPr>
        <w:t>所開發完成的</w:t>
      </w:r>
      <w:r w:rsidR="00744BE8" w:rsidRPr="00744BE8">
        <w:rPr>
          <w:rFonts w:eastAsia="標楷體" w:hint="eastAsia"/>
          <w:sz w:val="28"/>
        </w:rPr>
        <w:t>基礎</w:t>
      </w:r>
      <w:r w:rsidR="00933482" w:rsidRPr="00C67D42">
        <w:rPr>
          <w:rFonts w:eastAsia="標楷體"/>
          <w:sz w:val="28"/>
        </w:rPr>
        <w:t>複方</w:t>
      </w:r>
      <w:r w:rsidR="00744BE8">
        <w:rPr>
          <w:rFonts w:eastAsia="標楷體" w:hint="eastAsia"/>
          <w:sz w:val="28"/>
        </w:rPr>
        <w:t>，</w:t>
      </w:r>
      <w:r w:rsidR="00281881">
        <w:rPr>
          <w:rFonts w:eastAsia="標楷體" w:hint="eastAsia"/>
          <w:sz w:val="28"/>
        </w:rPr>
        <w:t>經</w:t>
      </w:r>
      <w:r w:rsidR="00933482" w:rsidRPr="00C67D42">
        <w:rPr>
          <w:rFonts w:eastAsia="標楷體"/>
          <w:sz w:val="28"/>
        </w:rPr>
        <w:t>動物試驗</w:t>
      </w:r>
      <w:r w:rsidR="00281881">
        <w:rPr>
          <w:rFonts w:eastAsia="標楷體" w:hint="eastAsia"/>
          <w:sz w:val="28"/>
        </w:rPr>
        <w:t>顯示</w:t>
      </w:r>
      <w:r w:rsidR="000478C6" w:rsidRPr="00C67D42">
        <w:rPr>
          <w:rFonts w:eastAsia="標楷體"/>
          <w:sz w:val="28"/>
        </w:rPr>
        <w:t>可以打破小鼠毛囊生長休止期，</w:t>
      </w:r>
      <w:r w:rsidR="00744BE8">
        <w:rPr>
          <w:rFonts w:eastAsia="標楷體" w:hint="eastAsia"/>
          <w:sz w:val="28"/>
        </w:rPr>
        <w:t>且</w:t>
      </w:r>
      <w:r w:rsidR="00933482" w:rsidRPr="00C67D42">
        <w:rPr>
          <w:rFonts w:eastAsia="標楷體"/>
          <w:sz w:val="28"/>
        </w:rPr>
        <w:t>無皮膚刺激性與細胞毒性</w:t>
      </w:r>
      <w:r>
        <w:rPr>
          <w:rFonts w:eastAsia="標楷體"/>
          <w:sz w:val="28"/>
        </w:rPr>
        <w:t>，</w:t>
      </w:r>
      <w:r w:rsidR="006F6FC3">
        <w:rPr>
          <w:rFonts w:eastAsia="標楷體" w:hint="eastAsia"/>
          <w:sz w:val="28"/>
        </w:rPr>
        <w:t>除</w:t>
      </w:r>
      <w:r w:rsidRPr="00EB4F25">
        <w:rPr>
          <w:rFonts w:eastAsia="標楷體" w:hint="eastAsia"/>
          <w:sz w:val="28"/>
        </w:rPr>
        <w:t>可應用於</w:t>
      </w:r>
      <w:r w:rsidR="006F6FC3" w:rsidRPr="00EB4F25">
        <w:rPr>
          <w:rFonts w:eastAsia="標楷體" w:hint="eastAsia"/>
          <w:sz w:val="28"/>
        </w:rPr>
        <w:t>一般</w:t>
      </w:r>
      <w:r w:rsidRPr="00EB4F25">
        <w:rPr>
          <w:rFonts w:eastAsia="標楷體" w:hint="eastAsia"/>
          <w:sz w:val="28"/>
        </w:rPr>
        <w:t>活化強健髮根之保養品</w:t>
      </w:r>
      <w:r w:rsidR="006F6FC3">
        <w:rPr>
          <w:rFonts w:eastAsia="標楷體" w:hint="eastAsia"/>
          <w:sz w:val="28"/>
        </w:rPr>
        <w:t>，亦可</w:t>
      </w:r>
      <w:r w:rsidRPr="00EB4F25">
        <w:rPr>
          <w:rFonts w:eastAsia="標楷體" w:hint="eastAsia"/>
          <w:sz w:val="28"/>
        </w:rPr>
        <w:t>進一步開發毛髮相關之產品</w:t>
      </w:r>
      <w:r w:rsidR="006F6FC3">
        <w:rPr>
          <w:rFonts w:eastAsia="標楷體" w:hint="eastAsia"/>
          <w:sz w:val="28"/>
        </w:rPr>
        <w:t>。</w:t>
      </w:r>
    </w:p>
    <w:p w14:paraId="2156D921" w14:textId="7B3DA8EB" w:rsidR="00933482" w:rsidRPr="00C67D42" w:rsidRDefault="002C3024" w:rsidP="00526A33">
      <w:pPr>
        <w:adjustRightInd w:val="0"/>
        <w:snapToGrid w:val="0"/>
        <w:spacing w:before="100" w:beforeAutospacing="1" w:after="100" w:afterAutospacing="1" w:line="100" w:lineRule="atLeast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 wp14:anchorId="5432AB94" wp14:editId="5CCC4838">
            <wp:extent cx="5673406" cy="465082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25" cy="4660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19D5B5" w14:textId="3C740B04" w:rsidR="004925C4" w:rsidRPr="00C67D42" w:rsidRDefault="00933482" w:rsidP="00EB4F25">
      <w:pPr>
        <w:ind w:rightChars="-82" w:right="-197"/>
        <w:jc w:val="center"/>
        <w:rPr>
          <w:rFonts w:eastAsia="標楷體"/>
        </w:rPr>
      </w:pPr>
      <w:r w:rsidRPr="00C67D42">
        <w:rPr>
          <w:rFonts w:eastAsia="標楷體"/>
        </w:rPr>
        <w:t>圖</w:t>
      </w:r>
      <w:r w:rsidR="00EB4F25">
        <w:rPr>
          <w:rFonts w:eastAsia="標楷體"/>
        </w:rPr>
        <w:t xml:space="preserve">. </w:t>
      </w:r>
      <w:r w:rsidR="00EB4F25">
        <w:rPr>
          <w:rFonts w:eastAsia="標楷體" w:hint="eastAsia"/>
        </w:rPr>
        <w:t>本技術基礎複方之</w:t>
      </w:r>
      <w:r w:rsidRPr="00C67D42">
        <w:rPr>
          <w:rFonts w:eastAsia="標楷體"/>
        </w:rPr>
        <w:t>動物試驗功效驗證</w:t>
      </w:r>
      <w:r w:rsidR="006F6FC3">
        <w:rPr>
          <w:rFonts w:eastAsia="標楷體" w:hint="eastAsia"/>
        </w:rPr>
        <w:t>結果</w:t>
      </w:r>
    </w:p>
    <w:sectPr w:rsidR="004925C4" w:rsidRPr="00C67D42" w:rsidSect="001A686F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E9A95" w14:textId="77777777" w:rsidR="00CF35B5" w:rsidRDefault="00CF35B5" w:rsidP="00C24C1C">
      <w:r>
        <w:separator/>
      </w:r>
    </w:p>
  </w:endnote>
  <w:endnote w:type="continuationSeparator" w:id="0">
    <w:p w14:paraId="2BEDF63B" w14:textId="77777777" w:rsidR="00CF35B5" w:rsidRDefault="00CF35B5" w:rsidP="00C24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標楷體(P)"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B02890" w14:textId="77777777" w:rsidR="00CF35B5" w:rsidRDefault="00CF35B5" w:rsidP="00C24C1C">
      <w:r>
        <w:separator/>
      </w:r>
    </w:p>
  </w:footnote>
  <w:footnote w:type="continuationSeparator" w:id="0">
    <w:p w14:paraId="33C6759F" w14:textId="77777777" w:rsidR="00CF35B5" w:rsidRDefault="00CF35B5" w:rsidP="00C24C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482"/>
    <w:rsid w:val="000478C6"/>
    <w:rsid w:val="00076EEE"/>
    <w:rsid w:val="000937C4"/>
    <w:rsid w:val="000E47D4"/>
    <w:rsid w:val="001A686F"/>
    <w:rsid w:val="001C3EDC"/>
    <w:rsid w:val="0020543E"/>
    <w:rsid w:val="0026667C"/>
    <w:rsid w:val="00281881"/>
    <w:rsid w:val="002C3024"/>
    <w:rsid w:val="004925C4"/>
    <w:rsid w:val="004B3994"/>
    <w:rsid w:val="00503A5A"/>
    <w:rsid w:val="00521E96"/>
    <w:rsid w:val="00526A33"/>
    <w:rsid w:val="006D42F2"/>
    <w:rsid w:val="006F6FC3"/>
    <w:rsid w:val="00744BE8"/>
    <w:rsid w:val="008F53B3"/>
    <w:rsid w:val="00933482"/>
    <w:rsid w:val="009A0220"/>
    <w:rsid w:val="00A5252F"/>
    <w:rsid w:val="00B12823"/>
    <w:rsid w:val="00BE5D20"/>
    <w:rsid w:val="00C24C1C"/>
    <w:rsid w:val="00C65A7E"/>
    <w:rsid w:val="00C67D42"/>
    <w:rsid w:val="00C97287"/>
    <w:rsid w:val="00CF35B5"/>
    <w:rsid w:val="00DB2A7C"/>
    <w:rsid w:val="00EB4F25"/>
    <w:rsid w:val="00ED0572"/>
    <w:rsid w:val="00F0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E0171A"/>
  <w15:docId w15:val="{62D2398B-6AEB-4C51-AE17-3BF47F466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48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C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24C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24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4C1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4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4C1C"/>
    <w:rPr>
      <w:rFonts w:ascii="Times New Roman" w:eastAsia="新細明體" w:hAnsi="Times New Roman" w:cs="Times New Roman"/>
      <w:sz w:val="20"/>
      <w:szCs w:val="20"/>
    </w:rPr>
  </w:style>
  <w:style w:type="paragraph" w:customStyle="1" w:styleId="Default">
    <w:name w:val="Default"/>
    <w:rsid w:val="001A686F"/>
    <w:pPr>
      <w:widowControl w:val="0"/>
      <w:autoSpaceDE w:val="0"/>
      <w:autoSpaceDN w:val="0"/>
      <w:adjustRightInd w:val="0"/>
    </w:pPr>
    <w:rPr>
      <w:rFonts w:ascii="DF Kai Shu" w:eastAsia="DF Kai Shu" w:hAnsi="Times New Roman" w:cs="DF Kai Shu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Ya-Lin Lee</dc:creator>
  <cp:keywords/>
  <dc:description/>
  <cp:lastModifiedBy>技服組-施碧茹</cp:lastModifiedBy>
  <cp:revision>9</cp:revision>
  <dcterms:created xsi:type="dcterms:W3CDTF">2021-06-16T08:50:00Z</dcterms:created>
  <dcterms:modified xsi:type="dcterms:W3CDTF">2021-06-16T09:19:00Z</dcterms:modified>
</cp:coreProperties>
</file>