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9E94" w14:textId="72B46C37" w:rsidR="005F2AEE" w:rsidRDefault="00EA16AB" w:rsidP="005F2AEE">
      <w:pPr>
        <w:snapToGrid w:val="0"/>
        <w:spacing w:beforeLines="50" w:before="180" w:line="500" w:lineRule="exact"/>
        <w:ind w:firstLineChars="200" w:firstLine="641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r w:rsidRPr="00647393"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BE7E5" wp14:editId="2674AC54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806450" cy="378460"/>
                <wp:effectExtent l="0" t="0" r="13335" b="215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DA3D" w14:textId="77777777" w:rsidR="00EA16AB" w:rsidRPr="00E664C4" w:rsidRDefault="00EA16AB" w:rsidP="00EA16AB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BE7E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2.3pt;margin-top:-31.5pt;width:63.5pt;height:29.8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">
                <v:textbox>
                  <w:txbxContent>
                    <w:p w14:paraId="3782DA3D" w14:textId="77777777" w:rsidR="00EA16AB" w:rsidRPr="00E664C4" w:rsidRDefault="00EA16AB" w:rsidP="00EA16AB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AEE" w:rsidRP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蕙蘭</w:t>
      </w:r>
      <w:r w:rsidR="005F2AEE">
        <w:rPr>
          <w:rFonts w:ascii="標楷體" w:eastAsia="標楷體" w:hAnsi="標楷體" w:cs="Times New Roman" w:hint="eastAsia"/>
          <w:b/>
          <w:noProof/>
          <w:color w:val="000000"/>
          <w:kern w:val="0"/>
          <w:sz w:val="32"/>
          <w:szCs w:val="32"/>
        </w:rPr>
        <w:t>｀</w:t>
      </w:r>
      <w:r w:rsid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台農</w:t>
      </w:r>
      <w:r w:rsid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1</w:t>
      </w:r>
      <w:r w:rsidR="005F2AEE" w:rsidRP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號</w:t>
      </w:r>
      <w:r w:rsidR="005F2AEE" w:rsidRP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-</w:t>
      </w:r>
      <w:r w:rsid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大吉大利</w:t>
      </w:r>
      <w:r w:rsidR="005F2AEE">
        <w:rPr>
          <w:rFonts w:ascii="標楷體" w:eastAsia="標楷體" w:hAnsi="標楷體" w:cs="Times New Roman" w:hint="eastAsia"/>
          <w:b/>
          <w:noProof/>
          <w:color w:val="000000"/>
          <w:kern w:val="0"/>
          <w:sz w:val="32"/>
          <w:szCs w:val="32"/>
        </w:rPr>
        <w:t>’</w:t>
      </w:r>
      <w:r w:rsidR="005F2AEE" w:rsidRPr="005F2AEE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品種</w:t>
      </w:r>
      <w:r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t>簡介</w:t>
      </w:r>
    </w:p>
    <w:p w14:paraId="0AAEF38A" w14:textId="5B9B8C32" w:rsidR="0098258C" w:rsidRPr="000B5040" w:rsidRDefault="0098258C" w:rsidP="00E86589">
      <w:pPr>
        <w:snapToGrid w:val="0"/>
        <w:spacing w:beforeLines="100" w:before="360"/>
        <w:ind w:firstLineChars="200" w:firstLine="560"/>
        <w:jc w:val="both"/>
        <w:rPr>
          <w:rFonts w:ascii="標楷體" w:eastAsia="標楷體" w:hAnsi="標楷體"/>
          <w:color w:val="808080"/>
          <w:sz w:val="28"/>
          <w:szCs w:val="28"/>
        </w:rPr>
      </w:pP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Pr="0098258C">
        <w:rPr>
          <w:rFonts w:ascii="Times New Roman" w:eastAsia="標楷體" w:hAnsi="Times New Roman" w:cs="Times New Roman"/>
          <w:sz w:val="28"/>
          <w:szCs w:val="28"/>
        </w:rPr>
        <w:t>1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大吉大利’</w:t>
      </w:r>
      <w:r>
        <w:rPr>
          <w:rFonts w:eastAsia="標楷體" w:hAnsi="標楷體"/>
          <w:kern w:val="0"/>
          <w:sz w:val="28"/>
          <w:szCs w:val="28"/>
        </w:rPr>
        <w:t>屬於</w:t>
      </w:r>
      <w:r>
        <w:rPr>
          <w:rFonts w:eastAsia="標楷體" w:hAnsi="標楷體" w:hint="eastAsia"/>
          <w:kern w:val="0"/>
          <w:sz w:val="28"/>
          <w:szCs w:val="28"/>
        </w:rPr>
        <w:t>橘色</w:t>
      </w:r>
      <w:r w:rsidRPr="005346D4">
        <w:rPr>
          <w:rFonts w:eastAsia="標楷體" w:hAnsi="標楷體"/>
          <w:kern w:val="0"/>
          <w:sz w:val="28"/>
          <w:szCs w:val="28"/>
        </w:rPr>
        <w:t>花</w:t>
      </w:r>
      <w:r>
        <w:rPr>
          <w:rFonts w:eastAsia="標楷體" w:hAnsi="標楷體" w:hint="eastAsia"/>
          <w:kern w:val="0"/>
          <w:sz w:val="28"/>
          <w:szCs w:val="28"/>
        </w:rPr>
        <w:t>大</w:t>
      </w:r>
      <w:r w:rsidRPr="005346D4">
        <w:rPr>
          <w:rFonts w:eastAsia="標楷體" w:hAnsi="標楷體"/>
          <w:kern w:val="0"/>
          <w:sz w:val="28"/>
          <w:szCs w:val="28"/>
        </w:rPr>
        <w:t>型花品種，</w:t>
      </w:r>
      <w:r w:rsidR="00543D7C" w:rsidRPr="005346D4">
        <w:rPr>
          <w:rFonts w:eastAsia="標楷體" w:hAnsi="標楷體"/>
          <w:sz w:val="28"/>
          <w:szCs w:val="28"/>
        </w:rPr>
        <w:t>植株高度</w:t>
      </w:r>
      <w:r w:rsidR="00543D7C" w:rsidRPr="005346D4">
        <w:rPr>
          <w:rFonts w:eastAsia="標楷體"/>
          <w:sz w:val="28"/>
          <w:szCs w:val="28"/>
        </w:rPr>
        <w:t xml:space="preserve"> </w:t>
      </w:r>
      <w:r w:rsidR="00543D7C">
        <w:rPr>
          <w:rFonts w:eastAsia="標楷體" w:hint="eastAsia"/>
          <w:sz w:val="28"/>
          <w:szCs w:val="28"/>
        </w:rPr>
        <w:t>75</w:t>
      </w:r>
      <w:r w:rsidR="00543D7C" w:rsidRPr="005346D4">
        <w:rPr>
          <w:rFonts w:eastAsia="標楷體" w:hAnsi="標楷體"/>
          <w:sz w:val="28"/>
          <w:szCs w:val="28"/>
        </w:rPr>
        <w:t>公分，假球莖長</w:t>
      </w:r>
      <w:r w:rsidR="00543D7C">
        <w:rPr>
          <w:rFonts w:eastAsia="標楷體" w:hint="eastAsia"/>
          <w:sz w:val="28"/>
          <w:szCs w:val="28"/>
        </w:rPr>
        <w:t>5.8</w:t>
      </w:r>
      <w:r w:rsidR="00543D7C" w:rsidRPr="005346D4">
        <w:rPr>
          <w:rFonts w:eastAsia="標楷體" w:hAnsi="標楷體"/>
          <w:sz w:val="28"/>
          <w:szCs w:val="28"/>
        </w:rPr>
        <w:t>公分，每個假球莖抽</w:t>
      </w:r>
      <w:r w:rsidR="00543D7C">
        <w:rPr>
          <w:rFonts w:eastAsia="標楷體" w:hAnsi="標楷體" w:hint="eastAsia"/>
          <w:sz w:val="28"/>
          <w:szCs w:val="28"/>
        </w:rPr>
        <w:t>1</w:t>
      </w:r>
      <w:r w:rsidR="00543D7C" w:rsidRPr="005346D4">
        <w:rPr>
          <w:rFonts w:eastAsia="標楷體" w:hAnsi="標楷體"/>
          <w:sz w:val="28"/>
          <w:szCs w:val="28"/>
        </w:rPr>
        <w:t>枝花梗</w:t>
      </w:r>
      <w:r w:rsidR="00543D7C">
        <w:rPr>
          <w:rFonts w:eastAsia="標楷體" w:hAnsi="標楷體" w:hint="eastAsia"/>
          <w:sz w:val="28"/>
          <w:szCs w:val="28"/>
        </w:rPr>
        <w:t>，</w:t>
      </w:r>
      <w:r w:rsidR="00543D7C" w:rsidRPr="005346D4">
        <w:rPr>
          <w:rFonts w:eastAsia="標楷體" w:hAnsi="標楷體"/>
          <w:kern w:val="0"/>
          <w:sz w:val="28"/>
          <w:szCs w:val="28"/>
        </w:rPr>
        <w:t>花梗直立，</w:t>
      </w:r>
      <w:r w:rsidR="00543D7C" w:rsidRPr="005346D4">
        <w:rPr>
          <w:rFonts w:eastAsia="標楷體" w:hAnsi="標楷體"/>
          <w:sz w:val="28"/>
          <w:szCs w:val="28"/>
        </w:rPr>
        <w:t>花梗長約</w:t>
      </w:r>
      <w:r w:rsidR="00543D7C">
        <w:rPr>
          <w:rFonts w:eastAsia="標楷體" w:hint="eastAsia"/>
          <w:sz w:val="28"/>
          <w:szCs w:val="28"/>
        </w:rPr>
        <w:t>64</w:t>
      </w:r>
      <w:r w:rsidR="00543D7C" w:rsidRPr="005346D4">
        <w:rPr>
          <w:rFonts w:eastAsia="標楷體" w:hAnsi="標楷體"/>
          <w:sz w:val="28"/>
          <w:szCs w:val="28"/>
        </w:rPr>
        <w:t>公分</w:t>
      </w:r>
      <w:r w:rsidR="00543D7C">
        <w:rPr>
          <w:rFonts w:eastAsia="標楷體" w:hAnsi="標楷體" w:hint="eastAsia"/>
          <w:sz w:val="28"/>
          <w:szCs w:val="28"/>
        </w:rPr>
        <w:t>，</w:t>
      </w:r>
      <w:r w:rsidR="00543D7C" w:rsidRPr="005346D4">
        <w:rPr>
          <w:rFonts w:eastAsia="標楷體" w:hAnsi="標楷體"/>
          <w:sz w:val="28"/>
          <w:szCs w:val="28"/>
        </w:rPr>
        <w:t>花朵數</w:t>
      </w:r>
      <w:r w:rsidR="00543D7C">
        <w:rPr>
          <w:rFonts w:eastAsia="標楷體" w:hAnsi="標楷體" w:hint="eastAsia"/>
          <w:sz w:val="28"/>
          <w:szCs w:val="28"/>
        </w:rPr>
        <w:t>約</w:t>
      </w:r>
      <w:r w:rsidR="00543D7C">
        <w:rPr>
          <w:rFonts w:eastAsia="標楷體" w:hAnsi="標楷體" w:hint="eastAsia"/>
          <w:sz w:val="28"/>
          <w:szCs w:val="28"/>
        </w:rPr>
        <w:t>15</w:t>
      </w:r>
      <w:r w:rsidR="00543D7C">
        <w:rPr>
          <w:rFonts w:eastAsia="標楷體" w:hAnsi="標楷體" w:hint="eastAsia"/>
          <w:sz w:val="28"/>
          <w:szCs w:val="28"/>
        </w:rPr>
        <w:t>朵；花朵</w:t>
      </w:r>
      <w:r>
        <w:rPr>
          <w:rFonts w:eastAsia="標楷體" w:hAnsi="標楷體" w:hint="eastAsia"/>
          <w:kern w:val="0"/>
          <w:sz w:val="28"/>
          <w:szCs w:val="28"/>
        </w:rPr>
        <w:t>唇瓣</w:t>
      </w:r>
      <w:r w:rsidRPr="005346D4">
        <w:rPr>
          <w:rFonts w:eastAsia="標楷體" w:hAnsi="標楷體"/>
          <w:kern w:val="0"/>
          <w:sz w:val="28"/>
          <w:szCs w:val="28"/>
        </w:rPr>
        <w:t>帶有</w:t>
      </w:r>
      <w:r>
        <w:rPr>
          <w:rFonts w:eastAsia="標楷體" w:hAnsi="標楷體" w:hint="eastAsia"/>
          <w:kern w:val="0"/>
          <w:sz w:val="28"/>
          <w:szCs w:val="28"/>
        </w:rPr>
        <w:t>紅色塊斑</w:t>
      </w:r>
      <w:r w:rsidRPr="005346D4">
        <w:rPr>
          <w:rFonts w:eastAsia="標楷體" w:hAnsi="標楷體"/>
          <w:kern w:val="0"/>
          <w:sz w:val="28"/>
          <w:szCs w:val="28"/>
        </w:rPr>
        <w:t>，</w:t>
      </w:r>
      <w:r w:rsidR="00543D7C" w:rsidRPr="005346D4">
        <w:rPr>
          <w:rFonts w:eastAsia="標楷體" w:hAnsi="標楷體"/>
          <w:sz w:val="28"/>
          <w:szCs w:val="28"/>
        </w:rPr>
        <w:t>花朵長</w:t>
      </w:r>
      <w:r w:rsidR="00543D7C">
        <w:rPr>
          <w:rFonts w:eastAsia="標楷體" w:hint="eastAsia"/>
          <w:sz w:val="28"/>
          <w:szCs w:val="28"/>
        </w:rPr>
        <w:t>5.7</w:t>
      </w:r>
      <w:r w:rsidR="00543D7C" w:rsidRPr="005346D4">
        <w:rPr>
          <w:rFonts w:eastAsia="標楷體" w:hAnsi="標楷體"/>
          <w:sz w:val="28"/>
          <w:szCs w:val="28"/>
        </w:rPr>
        <w:t>公分、寬</w:t>
      </w:r>
      <w:r w:rsidR="00543D7C">
        <w:rPr>
          <w:rFonts w:eastAsia="標楷體" w:hint="eastAsia"/>
          <w:sz w:val="28"/>
          <w:szCs w:val="28"/>
        </w:rPr>
        <w:t>7.9</w:t>
      </w:r>
      <w:r w:rsidR="00543D7C" w:rsidRPr="005346D4">
        <w:rPr>
          <w:rFonts w:eastAsia="標楷體" w:hAnsi="標楷體"/>
          <w:sz w:val="28"/>
          <w:szCs w:val="28"/>
        </w:rPr>
        <w:t>公分</w:t>
      </w:r>
      <w:r w:rsidR="00543D7C">
        <w:rPr>
          <w:rFonts w:eastAsia="標楷體" w:hAnsi="標楷體" w:hint="eastAsia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每年</w:t>
      </w:r>
      <w:r>
        <w:rPr>
          <w:rFonts w:eastAsia="標楷體" w:hAnsi="標楷體" w:hint="eastAsia"/>
          <w:sz w:val="28"/>
          <w:szCs w:val="28"/>
        </w:rPr>
        <w:t>1</w:t>
      </w:r>
      <w:r w:rsidR="007A139C">
        <w:rPr>
          <w:rFonts w:eastAsia="標楷體" w:hAnsi="標楷體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月開花，</w:t>
      </w:r>
      <w:r w:rsidRPr="005346D4">
        <w:rPr>
          <w:rFonts w:eastAsia="標楷體" w:hAnsi="標楷體"/>
          <w:sz w:val="28"/>
          <w:szCs w:val="28"/>
        </w:rPr>
        <w:t>花期約</w:t>
      </w:r>
      <w:r>
        <w:rPr>
          <w:rFonts w:eastAsia="標楷體" w:hint="eastAsia"/>
          <w:sz w:val="28"/>
          <w:szCs w:val="28"/>
        </w:rPr>
        <w:t>1.5</w:t>
      </w:r>
      <w:r w:rsidRPr="005346D4">
        <w:rPr>
          <w:rFonts w:eastAsia="標楷體" w:hAnsi="標楷體"/>
          <w:sz w:val="28"/>
          <w:szCs w:val="28"/>
        </w:rPr>
        <w:t>個月，花性佳，</w:t>
      </w:r>
      <w:r>
        <w:rPr>
          <w:rFonts w:eastAsia="標楷體" w:hAnsi="標楷體" w:hint="eastAsia"/>
          <w:sz w:val="28"/>
          <w:szCs w:val="28"/>
        </w:rPr>
        <w:t>不</w:t>
      </w:r>
      <w:r w:rsidRPr="005346D4">
        <w:rPr>
          <w:rFonts w:eastAsia="標楷體" w:hAnsi="標楷體"/>
          <w:sz w:val="28"/>
          <w:szCs w:val="28"/>
        </w:rPr>
        <w:t>具香味，花穗位於植株上方，與株高配比佳，為優</w:t>
      </w:r>
      <w:r w:rsidR="00543D7C">
        <w:rPr>
          <w:rFonts w:eastAsia="標楷體" w:hAnsi="標楷體" w:hint="eastAsia"/>
          <w:sz w:val="28"/>
          <w:szCs w:val="28"/>
        </w:rPr>
        <w:t>良</w:t>
      </w:r>
      <w:r w:rsidRPr="005346D4">
        <w:rPr>
          <w:rFonts w:eastAsia="標楷體" w:hAnsi="標楷體"/>
          <w:sz w:val="28"/>
          <w:szCs w:val="28"/>
        </w:rPr>
        <w:t>盆</w:t>
      </w:r>
      <w:r w:rsidR="00543D7C">
        <w:rPr>
          <w:rFonts w:eastAsia="標楷體" w:hAnsi="標楷體" w:hint="eastAsia"/>
          <w:sz w:val="28"/>
          <w:szCs w:val="28"/>
        </w:rPr>
        <w:t>花或</w:t>
      </w:r>
      <w:r w:rsidR="007A139C">
        <w:rPr>
          <w:rFonts w:eastAsia="標楷體" w:hAnsi="標楷體" w:hint="eastAsia"/>
          <w:sz w:val="28"/>
          <w:szCs w:val="28"/>
        </w:rPr>
        <w:t>切</w:t>
      </w:r>
      <w:r w:rsidRPr="005346D4">
        <w:rPr>
          <w:rFonts w:eastAsia="標楷體" w:hAnsi="標楷體"/>
          <w:sz w:val="28"/>
          <w:szCs w:val="28"/>
        </w:rPr>
        <w:t>花品種。</w:t>
      </w:r>
    </w:p>
    <w:p w14:paraId="0DD2BE80" w14:textId="4EE75ED0" w:rsidR="0098258C" w:rsidRPr="0098258C" w:rsidRDefault="0098258C" w:rsidP="00E86589">
      <w:pPr>
        <w:snapToGrid w:val="0"/>
        <w:spacing w:beforeLines="50" w:before="18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Pr="0098258C">
        <w:rPr>
          <w:rFonts w:ascii="Times New Roman" w:eastAsia="標楷體" w:hAnsi="Times New Roman" w:cs="Times New Roman"/>
          <w:sz w:val="28"/>
          <w:szCs w:val="28"/>
        </w:rPr>
        <w:t>1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="00B460B8">
        <w:rPr>
          <w:rFonts w:ascii="Times New Roman" w:eastAsia="標楷體" w:hAnsi="Times New Roman" w:cs="Times New Roman" w:hint="eastAsia"/>
          <w:sz w:val="28"/>
          <w:szCs w:val="28"/>
        </w:rPr>
        <w:t>大吉大利’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103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年參展台灣國際蘭展獲得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54475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44759">
        <w:rPr>
          <w:rFonts w:ascii="Times New Roman" w:eastAsia="標楷體" w:hAnsi="Times New Roman" w:cs="Times New Roman" w:hint="eastAsia"/>
          <w:sz w:val="28"/>
          <w:szCs w:val="28"/>
        </w:rPr>
        <w:t>其他蘭屬</w:t>
      </w:r>
      <w:r w:rsidR="0054475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第一獎，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日取得品種權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86589" w:rsidRPr="00E86589">
        <w:rPr>
          <w:rFonts w:ascii="Times New Roman" w:eastAsia="標楷體" w:hAnsi="Times New Roman" w:cs="Times New Roman" w:hint="eastAsia"/>
          <w:sz w:val="28"/>
          <w:szCs w:val="28"/>
        </w:rPr>
        <w:t>品種權字第</w:t>
      </w:r>
      <w:r w:rsidR="00E86589" w:rsidRPr="00E86589">
        <w:rPr>
          <w:rFonts w:ascii="Times New Roman" w:eastAsia="標楷體" w:hAnsi="Times New Roman" w:cs="Times New Roman" w:hint="eastAsia"/>
          <w:sz w:val="28"/>
          <w:szCs w:val="28"/>
        </w:rPr>
        <w:t>A02696</w:t>
      </w:r>
      <w:r w:rsidR="00E86589" w:rsidRPr="00E86589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A139C">
        <w:rPr>
          <w:rFonts w:ascii="Times New Roman" w:eastAsia="標楷體" w:hAnsi="Times New Roman" w:cs="Times New Roman" w:hint="eastAsia"/>
          <w:sz w:val="28"/>
          <w:szCs w:val="28"/>
        </w:rPr>
        <w:t>新品種</w:t>
      </w:r>
      <w:r w:rsidR="00B460B8">
        <w:rPr>
          <w:rFonts w:ascii="Times New Roman" w:eastAsia="標楷體" w:hAnsi="Times New Roman" w:cs="Times New Roman" w:hint="eastAsia"/>
          <w:sz w:val="28"/>
          <w:szCs w:val="28"/>
        </w:rPr>
        <w:t>具有生長強健容易栽培、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花梗直立</w:t>
      </w:r>
      <w:r w:rsidR="00B460B8">
        <w:rPr>
          <w:rFonts w:ascii="Times New Roman" w:eastAsia="標楷體" w:hAnsi="Times New Roman" w:cs="Times New Roman" w:hint="eastAsia"/>
          <w:sz w:val="28"/>
          <w:szCs w:val="28"/>
        </w:rPr>
        <w:t>不易倒伏</w:t>
      </w:r>
      <w:r w:rsidR="00CB2C29">
        <w:rPr>
          <w:rFonts w:ascii="Times New Roman" w:eastAsia="標楷體" w:hAnsi="Times New Roman" w:cs="Times New Roman" w:hint="eastAsia"/>
          <w:sz w:val="28"/>
          <w:szCs w:val="28"/>
        </w:rPr>
        <w:t>、花朵數多、</w:t>
      </w:r>
      <w:r w:rsidR="00752F62">
        <w:rPr>
          <w:rFonts w:eastAsia="標楷體" w:hAnsi="標楷體" w:hint="eastAsia"/>
          <w:kern w:val="0"/>
          <w:sz w:val="28"/>
          <w:szCs w:val="28"/>
        </w:rPr>
        <w:t>橘色</w:t>
      </w:r>
      <w:r w:rsidR="00CB2C29">
        <w:rPr>
          <w:rFonts w:eastAsia="標楷體" w:hAnsi="標楷體" w:hint="eastAsia"/>
          <w:kern w:val="0"/>
          <w:sz w:val="28"/>
          <w:szCs w:val="28"/>
        </w:rPr>
        <w:t>花中帶有鮮紅的唇瓣，</w:t>
      </w:r>
      <w:r w:rsidR="007A139C">
        <w:rPr>
          <w:rFonts w:eastAsia="標楷體" w:hAnsi="標楷體" w:hint="eastAsia"/>
          <w:kern w:val="0"/>
          <w:sz w:val="28"/>
          <w:szCs w:val="28"/>
        </w:rPr>
        <w:t>具</w:t>
      </w:r>
      <w:r w:rsidR="00567BFA">
        <w:rPr>
          <w:rFonts w:eastAsia="標楷體" w:hAnsi="標楷體" w:hint="eastAsia"/>
          <w:kern w:val="0"/>
          <w:sz w:val="28"/>
          <w:szCs w:val="28"/>
        </w:rPr>
        <w:t>色彩鮮豔</w:t>
      </w:r>
      <w:r w:rsidR="007A139C">
        <w:rPr>
          <w:rFonts w:eastAsia="標楷體" w:hAnsi="標楷體" w:hint="eastAsia"/>
          <w:kern w:val="0"/>
          <w:sz w:val="28"/>
          <w:szCs w:val="28"/>
        </w:rPr>
        <w:t>與</w:t>
      </w:r>
      <w:r w:rsidR="00567BFA">
        <w:rPr>
          <w:rFonts w:eastAsia="標楷體" w:hAnsi="標楷體" w:hint="eastAsia"/>
          <w:kern w:val="0"/>
          <w:sz w:val="28"/>
          <w:szCs w:val="28"/>
        </w:rPr>
        <w:t>年節喜氣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等多項優點，</w:t>
      </w:r>
      <w:r w:rsidR="004D7CD4">
        <w:rPr>
          <w:rFonts w:ascii="Times New Roman" w:eastAsia="標楷體" w:hAnsi="Times New Roman" w:cs="Times New Roman" w:hint="eastAsia"/>
          <w:sz w:val="28"/>
          <w:szCs w:val="28"/>
        </w:rPr>
        <w:t>且花期正巧於農曆年間，有助於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消費者購買及活絡市場，花農技轉後約</w:t>
      </w:r>
      <w:r w:rsidRPr="0098258C">
        <w:rPr>
          <w:rFonts w:ascii="Times New Roman" w:eastAsia="標楷體" w:hAnsi="Times New Roman" w:cs="Times New Roman"/>
          <w:sz w:val="28"/>
          <w:szCs w:val="28"/>
        </w:rPr>
        <w:t>4~5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年內有商品可出售，除盆花市場外，亦可當切花銷售，瓶插壽命可</w:t>
      </w:r>
      <w:r w:rsidR="004D7CD4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Pr="0098258C">
        <w:rPr>
          <w:rFonts w:ascii="Times New Roman" w:eastAsia="標楷體" w:hAnsi="Times New Roman" w:cs="Times New Roman"/>
          <w:sz w:val="28"/>
          <w:szCs w:val="28"/>
        </w:rPr>
        <w:t>15~20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天。</w:t>
      </w:r>
    </w:p>
    <w:p w14:paraId="17469AD7" w14:textId="1CD1AF54" w:rsidR="0098258C" w:rsidRDefault="00B460B8" w:rsidP="00E86589">
      <w:pPr>
        <w:snapToGrid w:val="0"/>
        <w:spacing w:beforeLines="50" w:before="180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栽培注意事項</w:t>
      </w:r>
      <w:r w:rsidR="005447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大花蕙蘭栽培需要冷涼環境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(25</w:t>
      </w:r>
      <w:r w:rsidR="00346441">
        <w:rPr>
          <w:rFonts w:ascii="標楷體" w:eastAsia="標楷體" w:hAnsi="標楷體" w:cs="Times New Roman" w:hint="eastAsia"/>
          <w:sz w:val="28"/>
          <w:szCs w:val="28"/>
        </w:rPr>
        <w:t>℃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左右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高溫環境</w:t>
      </w:r>
      <w:bookmarkStart w:id="0" w:name="_GoBack"/>
      <w:bookmarkEnd w:id="0"/>
      <w:r w:rsidR="0034644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高於</w:t>
      </w:r>
      <w:r w:rsidR="00346441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346441">
        <w:rPr>
          <w:rFonts w:ascii="標楷體" w:eastAsia="標楷體" w:hAnsi="標楷體" w:cs="Times New Roman" w:hint="eastAsia"/>
          <w:sz w:val="28"/>
          <w:szCs w:val="28"/>
        </w:rPr>
        <w:t>℃)容易造成花芽消蕾，或栽培期間</w:t>
      </w:r>
      <w:r w:rsidR="00752F62">
        <w:rPr>
          <w:rFonts w:ascii="標楷體" w:eastAsia="標楷體" w:hAnsi="標楷體" w:cs="Times New Roman" w:hint="eastAsia"/>
          <w:sz w:val="28"/>
          <w:szCs w:val="28"/>
        </w:rPr>
        <w:t>容易產生</w:t>
      </w:r>
      <w:r w:rsidR="00346441">
        <w:rPr>
          <w:rFonts w:ascii="標楷體" w:eastAsia="標楷體" w:hAnsi="標楷體" w:cs="Times New Roman" w:hint="eastAsia"/>
          <w:sz w:val="28"/>
          <w:szCs w:val="28"/>
        </w:rPr>
        <w:t>側芽</w:t>
      </w:r>
      <w:r w:rsidR="00752F6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46441">
        <w:rPr>
          <w:rFonts w:ascii="標楷體" w:eastAsia="標楷體" w:hAnsi="標楷體" w:cs="Times New Roman" w:hint="eastAsia"/>
          <w:sz w:val="28"/>
          <w:szCs w:val="28"/>
        </w:rPr>
        <w:t>使假球莖不易肥大</w:t>
      </w:r>
      <w:r w:rsidR="00752F62">
        <w:rPr>
          <w:rFonts w:ascii="標楷體" w:eastAsia="標楷體" w:hAnsi="標楷體" w:cs="Times New Roman" w:hint="eastAsia"/>
          <w:sz w:val="28"/>
          <w:szCs w:val="28"/>
        </w:rPr>
        <w:t>而無法開花。</w:t>
      </w:r>
    </w:p>
    <w:p w14:paraId="1017464F" w14:textId="77777777" w:rsidR="00DD6C54" w:rsidRPr="00DD6C54" w:rsidRDefault="00DD6C54" w:rsidP="00DD6C54">
      <w:pPr>
        <w:snapToGrid w:val="0"/>
        <w:spacing w:line="400" w:lineRule="exact"/>
        <w:ind w:firstLineChars="200" w:firstLine="240"/>
        <w:jc w:val="both"/>
        <w:rPr>
          <w:rFonts w:ascii="Times New Roman" w:eastAsia="標楷體" w:hAnsi="Times New Roman" w:cs="Times New Roman"/>
          <w:sz w:val="12"/>
          <w:szCs w:val="28"/>
        </w:rPr>
      </w:pPr>
    </w:p>
    <w:p w14:paraId="4C4BE68E" w14:textId="53285156" w:rsidR="003C1B3B" w:rsidRDefault="000F5F4C" w:rsidP="00E8658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E86589" w:rsidRPr="00E8658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73B54542" wp14:editId="4119DDF9">
            <wp:extent cx="2448129" cy="1638935"/>
            <wp:effectExtent l="0" t="0" r="9525" b="0"/>
            <wp:docPr id="1" name="圖片 1" descr="D:\DATA1\東亞蘭\1090213 東亞蘭台農1號-大吉大利新品種申請\1090213台農1號-大吉大利 品種申請\1090205東亞蘭花朵照片\大吉大利優良照片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東亞蘭\1090213 東亞蘭台農1號-大吉大利新品種申請\1090213台農1號-大吉大利 品種申請\1090205東亞蘭花朵照片\大吉大利優良照片\DSC_0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35" cy="16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865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86589" w:rsidRPr="00E8658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569C7780" wp14:editId="3B7F3A90">
            <wp:extent cx="3518154" cy="2355278"/>
            <wp:effectExtent l="3810" t="0" r="8890" b="8890"/>
            <wp:docPr id="2" name="圖片 2" descr="D:\DATA1\東亞蘭\1090213 東亞蘭台農1號-大吉大利新品種申請\1090213台農1號-大吉大利 品種申請\1090205東亞蘭花朵照片\大吉大利優良照片\DSC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1\東亞蘭\1090213 東亞蘭台農1號-大吉大利新品種申請\1090213台農1號-大吉大利 品種申請\1090205東亞蘭花朵照片\大吉大利優良照片\DSC_0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8154" cy="23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9E15" w14:textId="46872936" w:rsidR="004D7CD4" w:rsidRPr="007A139C" w:rsidRDefault="007A139C" w:rsidP="007A139C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Pr="0098258C">
        <w:rPr>
          <w:rFonts w:ascii="Times New Roman" w:eastAsia="標楷體" w:hAnsi="Times New Roman" w:cs="Times New Roman"/>
          <w:sz w:val="28"/>
          <w:szCs w:val="28"/>
        </w:rPr>
        <w:t>1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大吉大利’</w:t>
      </w:r>
      <w:r>
        <w:rPr>
          <w:rFonts w:ascii="Times New Roman" w:eastAsia="標楷體" w:hAnsi="Times New Roman" w:cs="Times New Roman" w:hint="eastAsia"/>
          <w:sz w:val="28"/>
          <w:szCs w:val="28"/>
        </w:rPr>
        <w:t>單朵花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｀台農</w:t>
      </w:r>
      <w:r w:rsidRPr="0098258C">
        <w:rPr>
          <w:rFonts w:ascii="Times New Roman" w:eastAsia="標楷體" w:hAnsi="Times New Roman" w:cs="Times New Roman"/>
          <w:sz w:val="28"/>
          <w:szCs w:val="28"/>
        </w:rPr>
        <w:t>1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98258C">
        <w:rPr>
          <w:rFonts w:ascii="Times New Roman" w:eastAsia="標楷體" w:hAnsi="Times New Roman" w:cs="Times New Roman"/>
          <w:sz w:val="28"/>
          <w:szCs w:val="28"/>
        </w:rPr>
        <w:t>-</w:t>
      </w:r>
      <w:r w:rsidRPr="0098258C">
        <w:rPr>
          <w:rFonts w:ascii="Times New Roman" w:eastAsia="標楷體" w:hAnsi="Times New Roman" w:cs="Times New Roman" w:hint="eastAsia"/>
          <w:sz w:val="28"/>
          <w:szCs w:val="28"/>
        </w:rPr>
        <w:t>大吉大利’</w:t>
      </w:r>
      <w:r>
        <w:rPr>
          <w:rFonts w:ascii="Times New Roman" w:eastAsia="標楷體" w:hAnsi="Times New Roman" w:cs="Times New Roman" w:hint="eastAsia"/>
          <w:sz w:val="28"/>
          <w:szCs w:val="28"/>
        </w:rPr>
        <w:t>植株</w:t>
      </w:r>
    </w:p>
    <w:sectPr w:rsidR="004D7CD4" w:rsidRPr="007A139C" w:rsidSect="005F695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DD6F2" w14:textId="77777777" w:rsidR="007A0F5D" w:rsidRDefault="007A0F5D" w:rsidP="00621486">
      <w:r>
        <w:separator/>
      </w:r>
    </w:p>
  </w:endnote>
  <w:endnote w:type="continuationSeparator" w:id="0">
    <w:p w14:paraId="1DD585CE" w14:textId="77777777" w:rsidR="007A0F5D" w:rsidRDefault="007A0F5D" w:rsidP="0062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0F76" w14:textId="77777777" w:rsidR="007A0F5D" w:rsidRDefault="007A0F5D" w:rsidP="00621486">
      <w:r>
        <w:separator/>
      </w:r>
    </w:p>
  </w:footnote>
  <w:footnote w:type="continuationSeparator" w:id="0">
    <w:p w14:paraId="40871809" w14:textId="77777777" w:rsidR="007A0F5D" w:rsidRDefault="007A0F5D" w:rsidP="0062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0"/>
    <w:rsid w:val="0004445F"/>
    <w:rsid w:val="0006738B"/>
    <w:rsid w:val="0007465D"/>
    <w:rsid w:val="000879A2"/>
    <w:rsid w:val="00092E62"/>
    <w:rsid w:val="00094B72"/>
    <w:rsid w:val="000955F8"/>
    <w:rsid w:val="000F2691"/>
    <w:rsid w:val="000F5F4C"/>
    <w:rsid w:val="00105E94"/>
    <w:rsid w:val="001434C4"/>
    <w:rsid w:val="00151EF8"/>
    <w:rsid w:val="00156AC5"/>
    <w:rsid w:val="00165C16"/>
    <w:rsid w:val="001A3860"/>
    <w:rsid w:val="001D1F6B"/>
    <w:rsid w:val="002506B1"/>
    <w:rsid w:val="00276CA2"/>
    <w:rsid w:val="0028737C"/>
    <w:rsid w:val="0029060A"/>
    <w:rsid w:val="002A388B"/>
    <w:rsid w:val="002A7FAC"/>
    <w:rsid w:val="002C0131"/>
    <w:rsid w:val="002C747F"/>
    <w:rsid w:val="00301746"/>
    <w:rsid w:val="00316B0A"/>
    <w:rsid w:val="0033594F"/>
    <w:rsid w:val="00346441"/>
    <w:rsid w:val="00350348"/>
    <w:rsid w:val="00371190"/>
    <w:rsid w:val="003B0DB1"/>
    <w:rsid w:val="003C1B3B"/>
    <w:rsid w:val="003F35C8"/>
    <w:rsid w:val="00464D74"/>
    <w:rsid w:val="00475749"/>
    <w:rsid w:val="004A2F22"/>
    <w:rsid w:val="004B605F"/>
    <w:rsid w:val="004D7CD4"/>
    <w:rsid w:val="00502BCC"/>
    <w:rsid w:val="00536ED2"/>
    <w:rsid w:val="00543D7C"/>
    <w:rsid w:val="00544759"/>
    <w:rsid w:val="00567BFA"/>
    <w:rsid w:val="0058138A"/>
    <w:rsid w:val="00586B03"/>
    <w:rsid w:val="005C59EE"/>
    <w:rsid w:val="005F2AEE"/>
    <w:rsid w:val="005F6953"/>
    <w:rsid w:val="00621486"/>
    <w:rsid w:val="00647393"/>
    <w:rsid w:val="00663F61"/>
    <w:rsid w:val="006737DA"/>
    <w:rsid w:val="006809E3"/>
    <w:rsid w:val="00680D8E"/>
    <w:rsid w:val="006B3A55"/>
    <w:rsid w:val="00720B6A"/>
    <w:rsid w:val="00734B14"/>
    <w:rsid w:val="00742FDF"/>
    <w:rsid w:val="00752F62"/>
    <w:rsid w:val="007A0F5D"/>
    <w:rsid w:val="007A139C"/>
    <w:rsid w:val="007F11AC"/>
    <w:rsid w:val="00811C51"/>
    <w:rsid w:val="00830683"/>
    <w:rsid w:val="00845C9D"/>
    <w:rsid w:val="008645F6"/>
    <w:rsid w:val="008C03BD"/>
    <w:rsid w:val="008D15CB"/>
    <w:rsid w:val="008D5244"/>
    <w:rsid w:val="00947F14"/>
    <w:rsid w:val="00971904"/>
    <w:rsid w:val="0098258C"/>
    <w:rsid w:val="009B3491"/>
    <w:rsid w:val="00A00767"/>
    <w:rsid w:val="00A02478"/>
    <w:rsid w:val="00A47B94"/>
    <w:rsid w:val="00A65818"/>
    <w:rsid w:val="00A70721"/>
    <w:rsid w:val="00AB13B0"/>
    <w:rsid w:val="00AC0B78"/>
    <w:rsid w:val="00AD65B5"/>
    <w:rsid w:val="00AF5040"/>
    <w:rsid w:val="00B460B8"/>
    <w:rsid w:val="00B635ED"/>
    <w:rsid w:val="00BB6A87"/>
    <w:rsid w:val="00BC4A84"/>
    <w:rsid w:val="00C4091E"/>
    <w:rsid w:val="00C4118C"/>
    <w:rsid w:val="00C62B2D"/>
    <w:rsid w:val="00C721D3"/>
    <w:rsid w:val="00C914EE"/>
    <w:rsid w:val="00CB2C29"/>
    <w:rsid w:val="00CC7B3C"/>
    <w:rsid w:val="00D0105B"/>
    <w:rsid w:val="00D22C2B"/>
    <w:rsid w:val="00D52F71"/>
    <w:rsid w:val="00D53839"/>
    <w:rsid w:val="00D55A87"/>
    <w:rsid w:val="00D63D03"/>
    <w:rsid w:val="00DB043D"/>
    <w:rsid w:val="00DD6C54"/>
    <w:rsid w:val="00E06008"/>
    <w:rsid w:val="00E43B1A"/>
    <w:rsid w:val="00E44A91"/>
    <w:rsid w:val="00E523D1"/>
    <w:rsid w:val="00E55600"/>
    <w:rsid w:val="00E86589"/>
    <w:rsid w:val="00E91997"/>
    <w:rsid w:val="00EA16AB"/>
    <w:rsid w:val="00EA3780"/>
    <w:rsid w:val="00ED5D13"/>
    <w:rsid w:val="00F22C40"/>
    <w:rsid w:val="00F96CD6"/>
    <w:rsid w:val="00FA5426"/>
    <w:rsid w:val="00FD0048"/>
    <w:rsid w:val="00FD385C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FA70"/>
  <w15:docId w15:val="{96291A18-F15F-48C1-A5B5-E405197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24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4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486"/>
    <w:rPr>
      <w:sz w:val="20"/>
      <w:szCs w:val="20"/>
    </w:rPr>
  </w:style>
  <w:style w:type="paragraph" w:customStyle="1" w:styleId="Default">
    <w:name w:val="Default"/>
    <w:rsid w:val="003C1B3B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3A67-F5D2-4BB4-982C-58FE1847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技服組-卓緯玄</cp:lastModifiedBy>
  <cp:revision>4</cp:revision>
  <cp:lastPrinted>2021-07-19T08:39:00Z</cp:lastPrinted>
  <dcterms:created xsi:type="dcterms:W3CDTF">2021-12-05T15:14:00Z</dcterms:created>
  <dcterms:modified xsi:type="dcterms:W3CDTF">2021-12-15T02:08:00Z</dcterms:modified>
</cp:coreProperties>
</file>